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4EC5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TÍTULO: </w:t>
      </w:r>
      <w:r>
        <w:rPr>
          <w:rFonts w:ascii="Arial" w:hAnsi="Arial"/>
          <w:sz w:val="22"/>
          <w:szCs w:val="22"/>
          <w:lang w:val="es-PE"/>
        </w:rPr>
        <w:t xml:space="preserve">Análisis de </w:t>
      </w:r>
      <w:proofErr w:type="spellStart"/>
      <w:r>
        <w:rPr>
          <w:rFonts w:ascii="Arial" w:hAnsi="Arial"/>
          <w:sz w:val="22"/>
          <w:szCs w:val="22"/>
          <w:lang w:val="es-PE"/>
        </w:rPr>
        <w:t>Prospectividad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de la Mineralización IOCG del Sector Sur de la Cordillera de la Costa (17.5°S – 18.3°S) a partir de técnicas de Análisis Espacial y Modelamiento </w:t>
      </w:r>
      <w:proofErr w:type="spellStart"/>
      <w:r>
        <w:rPr>
          <w:rFonts w:ascii="Arial" w:hAnsi="Arial"/>
          <w:sz w:val="22"/>
          <w:szCs w:val="22"/>
          <w:lang w:val="es-PE"/>
        </w:rPr>
        <w:t>Geomecánico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Discreto</w:t>
      </w:r>
    </w:p>
    <w:p w14:paraId="6E28878C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CATEGORÍA: </w:t>
      </w:r>
      <w:r>
        <w:rPr>
          <w:rFonts w:ascii="Arial" w:hAnsi="Arial"/>
          <w:sz w:val="22"/>
          <w:szCs w:val="22"/>
          <w:lang w:val="es-PE"/>
        </w:rPr>
        <w:t>Geología y Exploraciones</w:t>
      </w:r>
    </w:p>
    <w:p w14:paraId="23E4F79A" w14:textId="77777777" w:rsidR="00F173AA" w:rsidRDefault="00000000">
      <w:p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TEMA:</w:t>
      </w:r>
      <w:r>
        <w:rPr>
          <w:rFonts w:ascii="Arial" w:hAnsi="Arial"/>
          <w:sz w:val="22"/>
          <w:szCs w:val="22"/>
          <w:lang w:val="es-PE"/>
        </w:rPr>
        <w:t xml:space="preserve"> Desarrollo y evolución de nuevas tecnologías para la exploración y desarrollo de proyectos.</w:t>
      </w:r>
    </w:p>
    <w:p w14:paraId="21FB9E99" w14:textId="77777777" w:rsidR="00F173AA" w:rsidRDefault="00000000">
      <w:p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DATOS DEL AUTOR Y COAUTORES:</w:t>
      </w:r>
    </w:p>
    <w:p w14:paraId="4D000A47" w14:textId="5906DD71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Nombre Completo: </w:t>
      </w:r>
      <w:r>
        <w:rPr>
          <w:rFonts w:ascii="Arial" w:hAnsi="Arial"/>
          <w:sz w:val="22"/>
          <w:szCs w:val="22"/>
          <w:lang w:val="es-PE"/>
        </w:rPr>
        <w:t>Ricardo Farid Ch</w:t>
      </w:r>
      <w:r w:rsidR="00E42B1B">
        <w:rPr>
          <w:rFonts w:ascii="Arial" w:hAnsi="Arial"/>
          <w:sz w:val="22"/>
          <w:szCs w:val="22"/>
          <w:lang w:val="es-PE"/>
        </w:rPr>
        <w:t>á</w:t>
      </w:r>
      <w:r>
        <w:rPr>
          <w:rFonts w:ascii="Arial" w:hAnsi="Arial"/>
          <w:sz w:val="22"/>
          <w:szCs w:val="22"/>
          <w:lang w:val="es-PE"/>
        </w:rPr>
        <w:t>vez L</w:t>
      </w:r>
      <w:r w:rsidR="00E42B1B">
        <w:rPr>
          <w:rFonts w:ascii="Arial" w:hAnsi="Arial"/>
          <w:sz w:val="22"/>
          <w:szCs w:val="22"/>
          <w:lang w:val="es-PE"/>
        </w:rPr>
        <w:t>ó</w:t>
      </w:r>
      <w:r>
        <w:rPr>
          <w:rFonts w:ascii="Arial" w:hAnsi="Arial"/>
          <w:sz w:val="22"/>
          <w:szCs w:val="22"/>
          <w:lang w:val="es-PE"/>
        </w:rPr>
        <w:t>pez</w:t>
      </w:r>
    </w:p>
    <w:p w14:paraId="15973690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Empresa: </w:t>
      </w:r>
      <w:proofErr w:type="spellStart"/>
      <w:r>
        <w:rPr>
          <w:rFonts w:ascii="Arial" w:hAnsi="Arial"/>
          <w:sz w:val="22"/>
          <w:szCs w:val="22"/>
          <w:lang w:val="es-PE"/>
        </w:rPr>
        <w:t>Alfarillo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s-PE"/>
        </w:rPr>
        <w:t>Group</w:t>
      </w:r>
      <w:proofErr w:type="spellEnd"/>
    </w:p>
    <w:p w14:paraId="6514F3F3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Cargo: </w:t>
      </w:r>
      <w:r>
        <w:rPr>
          <w:rFonts w:ascii="Arial" w:hAnsi="Arial"/>
          <w:sz w:val="22"/>
          <w:szCs w:val="22"/>
          <w:lang w:val="es-PE"/>
        </w:rPr>
        <w:t>Asociado</w:t>
      </w:r>
    </w:p>
    <w:p w14:paraId="6FDF8F9C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Dirección: </w:t>
      </w:r>
      <w:proofErr w:type="spellStart"/>
      <w:r>
        <w:rPr>
          <w:rFonts w:ascii="Arial" w:hAnsi="Arial"/>
          <w:sz w:val="22"/>
          <w:szCs w:val="22"/>
          <w:lang w:val="es-PE"/>
        </w:rPr>
        <w:t>Mz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52 Lote 01, Ciudad Nueva, Alto de la Alianza, Tacna, Tacna</w:t>
      </w:r>
    </w:p>
    <w:p w14:paraId="6E9547CF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Correo Corporativo: </w:t>
      </w:r>
      <w:r>
        <w:rPr>
          <w:rFonts w:ascii="Arial" w:hAnsi="Arial"/>
          <w:sz w:val="22"/>
          <w:szCs w:val="22"/>
          <w:lang w:val="es-PE"/>
        </w:rPr>
        <w:t>contacto@alfarillogroup.ong</w:t>
      </w:r>
    </w:p>
    <w:p w14:paraId="6FF0BF04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Correo Personal: </w:t>
      </w:r>
      <w:r>
        <w:rPr>
          <w:rFonts w:ascii="Arial" w:hAnsi="Arial"/>
          <w:sz w:val="22"/>
          <w:szCs w:val="22"/>
          <w:lang w:val="es-PE"/>
        </w:rPr>
        <w:t>reeffarid29@gmail.com</w:t>
      </w:r>
    </w:p>
    <w:p w14:paraId="01DCEF2C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Celular: </w:t>
      </w:r>
      <w:r>
        <w:rPr>
          <w:rFonts w:ascii="Arial" w:hAnsi="Arial"/>
          <w:sz w:val="22"/>
          <w:szCs w:val="22"/>
          <w:lang w:val="es-PE"/>
        </w:rPr>
        <w:t>+51 967 386 821</w:t>
      </w:r>
    </w:p>
    <w:p w14:paraId="13D0220F" w14:textId="77777777" w:rsidR="00F173AA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Breve Reseña Profesional: </w:t>
      </w:r>
      <w:r>
        <w:rPr>
          <w:rFonts w:ascii="Arial" w:hAnsi="Arial"/>
          <w:sz w:val="22"/>
          <w:szCs w:val="22"/>
          <w:lang w:val="es-PE"/>
        </w:rPr>
        <w:t xml:space="preserve">Ingeniero Geólogo próximo a egresar de la Universidad Nacional Jorge Basadre Grohmann, con sólida formación en geología estructural, geología regional, sedimentología y geoquímica aplicada. Experiencia en cartografiado fotogeológico, interpretación de imágenes satelitales y levantamiento de información de campo en proyectos de síntesis regional y exploración mineral. Manejo avanzado de herramientas de SIG, procesamiento espectral, modelamiento geológico 3D y análisis estadístico de datos geoquímicos, así como capacitación complementaria en Machine </w:t>
      </w:r>
      <w:proofErr w:type="spellStart"/>
      <w:r>
        <w:rPr>
          <w:rFonts w:ascii="Arial" w:hAnsi="Arial"/>
          <w:sz w:val="22"/>
          <w:szCs w:val="22"/>
          <w:lang w:val="es-PE"/>
        </w:rPr>
        <w:t>Learning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aplicado a geociencias. </w:t>
      </w:r>
    </w:p>
    <w:p w14:paraId="32B76056" w14:textId="77777777" w:rsidR="00F173AA" w:rsidRDefault="00000000">
      <w:p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PALABRAS CLAVE:</w:t>
      </w:r>
    </w:p>
    <w:p w14:paraId="3FF78747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sz w:val="22"/>
          <w:szCs w:val="22"/>
          <w:lang w:val="es-PE"/>
        </w:rPr>
        <w:t xml:space="preserve">Modelamiento, </w:t>
      </w:r>
      <w:proofErr w:type="spellStart"/>
      <w:r>
        <w:rPr>
          <w:rFonts w:ascii="Arial" w:hAnsi="Arial"/>
          <w:sz w:val="22"/>
          <w:szCs w:val="22"/>
          <w:lang w:val="es-PE"/>
        </w:rPr>
        <w:t>Prospectividad</w:t>
      </w:r>
      <w:proofErr w:type="spellEnd"/>
      <w:r>
        <w:rPr>
          <w:rFonts w:ascii="Arial" w:hAnsi="Arial"/>
          <w:sz w:val="22"/>
          <w:szCs w:val="22"/>
          <w:lang w:val="es-PE"/>
        </w:rPr>
        <w:t>, Lineamientos, Mineralización, Perú, Teledetección</w:t>
      </w:r>
    </w:p>
    <w:p w14:paraId="160D85F0" w14:textId="77777777" w:rsidR="00F173AA" w:rsidRDefault="00000000">
      <w:pPr>
        <w:spacing w:line="360" w:lineRule="auto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RESUMEN: </w:t>
      </w:r>
    </w:p>
    <w:p w14:paraId="1FD8052E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sz w:val="22"/>
          <w:szCs w:val="22"/>
          <w:lang w:val="es-PE"/>
        </w:rPr>
        <w:t xml:space="preserve">El presente estudio explora la </w:t>
      </w:r>
      <w:proofErr w:type="spellStart"/>
      <w:r>
        <w:rPr>
          <w:rFonts w:ascii="Arial" w:hAnsi="Arial"/>
          <w:sz w:val="22"/>
          <w:szCs w:val="22"/>
          <w:lang w:val="es-PE"/>
        </w:rPr>
        <w:t>prospectividad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mineral a escala regional en el extremo sur de la Cordillera de la Costa del Perú, abarcando territorios de las regiones de Moquegua y Tacna. Esta región es geológicamente similar al norte de Chile, donde la exploración mineral se enfrenta a crecientes desafíos debido a la presencia de coberturas sedimentarias </w:t>
      </w:r>
      <w:proofErr w:type="spellStart"/>
      <w:r>
        <w:rPr>
          <w:rFonts w:ascii="Arial" w:hAnsi="Arial"/>
          <w:sz w:val="22"/>
          <w:szCs w:val="22"/>
          <w:lang w:val="es-PE"/>
        </w:rPr>
        <w:t>postmineralización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que ocultan extensas zonas del basamento potencialmente mineralizado. Ante esta creciente necesidad de identificar nuevas áreas con potencial exploratorio en zonas cubiertas de forma eficiente y económica, se hace necesario desarrollar una metodología para determinar posibles zonas mineralizadas en el sector sur de la Franja Metalogenética de </w:t>
      </w:r>
      <w:proofErr w:type="spellStart"/>
      <w:r>
        <w:rPr>
          <w:rFonts w:ascii="Arial" w:hAnsi="Arial"/>
          <w:sz w:val="22"/>
          <w:szCs w:val="22"/>
          <w:lang w:val="es-PE"/>
        </w:rPr>
        <w:t>IOCGs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del Cretácico Inferior con información limitada. </w:t>
      </w:r>
    </w:p>
    <w:p w14:paraId="3D4B8A01" w14:textId="77777777" w:rsidR="00F173AA" w:rsidRDefault="00F173AA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</w:p>
    <w:p w14:paraId="15FA2F78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sz w:val="22"/>
          <w:szCs w:val="22"/>
          <w:lang w:val="es-PE"/>
        </w:rPr>
        <w:t xml:space="preserve">Para ello se aplicó una metodología basada en la integración de técnicas de </w:t>
      </w:r>
      <w:proofErr w:type="spellStart"/>
      <w:r>
        <w:rPr>
          <w:rFonts w:ascii="Arial" w:hAnsi="Arial"/>
          <w:sz w:val="22"/>
          <w:szCs w:val="22"/>
          <w:lang w:val="es-PE"/>
        </w:rPr>
        <w:t>sensoramiento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remoto, análisis estructural, técnicas estadísticas espaciales, herramientas de sistemas de información </w:t>
      </w:r>
      <w:r>
        <w:rPr>
          <w:rFonts w:ascii="Arial" w:hAnsi="Arial"/>
          <w:sz w:val="22"/>
          <w:szCs w:val="22"/>
          <w:lang w:val="es-PE"/>
        </w:rPr>
        <w:lastRenderedPageBreak/>
        <w:t xml:space="preserve">geográfica (SIG), modelamiento </w:t>
      </w:r>
      <w:proofErr w:type="spellStart"/>
      <w:r>
        <w:rPr>
          <w:rFonts w:ascii="Arial" w:hAnsi="Arial"/>
          <w:sz w:val="22"/>
          <w:szCs w:val="22"/>
          <w:lang w:val="es-PE"/>
        </w:rPr>
        <w:t>geomecánico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y levantamiento de información de campo. Esta consistió en la extracción manual de lineamientos estructurales a partir de imágenes satelitales de alta resolución (Bing </w:t>
      </w:r>
      <w:proofErr w:type="spellStart"/>
      <w:r>
        <w:rPr>
          <w:rFonts w:ascii="Arial" w:hAnsi="Arial"/>
          <w:sz w:val="22"/>
          <w:szCs w:val="22"/>
          <w:lang w:val="es-PE"/>
        </w:rPr>
        <w:t>Maps</w:t>
      </w:r>
      <w:proofErr w:type="spellEnd"/>
      <w:r>
        <w:rPr>
          <w:rFonts w:ascii="Arial" w:hAnsi="Arial"/>
          <w:sz w:val="22"/>
          <w:szCs w:val="22"/>
          <w:lang w:val="es-PE"/>
        </w:rPr>
        <w:t>) y modelos digitales de elevación (ALOS PALSAR), validados con el cartografiado estructural del INGEMMET y de campo. Estos datos fueron analizados mediante diagramas de rosa y proyecciones estereográficas. Complementariamente, la información levantada en campo de ocurrencias minerales y de alteración fue evaluada mediante el análisis de patrones de puntos (</w:t>
      </w:r>
      <w:proofErr w:type="spellStart"/>
      <w:r>
        <w:rPr>
          <w:rFonts w:ascii="Arial" w:hAnsi="Arial"/>
          <w:sz w:val="22"/>
          <w:szCs w:val="22"/>
          <w:lang w:val="es-PE"/>
        </w:rPr>
        <w:t>point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s-PE"/>
        </w:rPr>
        <w:t>pattern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s-PE"/>
        </w:rPr>
        <w:t>analysis</w:t>
      </w:r>
      <w:proofErr w:type="spellEnd"/>
      <w:r>
        <w:rPr>
          <w:rFonts w:ascii="Arial" w:hAnsi="Arial"/>
          <w:sz w:val="22"/>
          <w:szCs w:val="22"/>
          <w:lang w:val="es-PE"/>
        </w:rPr>
        <w:t>), el análisis fractal (box-</w:t>
      </w:r>
      <w:proofErr w:type="spellStart"/>
      <w:r>
        <w:rPr>
          <w:rFonts w:ascii="Arial" w:hAnsi="Arial"/>
          <w:sz w:val="22"/>
          <w:szCs w:val="22"/>
          <w:lang w:val="es-PE"/>
        </w:rPr>
        <w:t>counting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y densidad radial) y el análisis de Fry, con el fin de identificar patrones de lineamientos y regularidad en su distribución. También se aplicó la técnica de distribución de distancias para cuantificar la asociación espacial entre las ocurrencias minerales y los rasgos geológicos estructurales interpretados y cartografiados en campo. Para el modelamiento </w:t>
      </w:r>
      <w:proofErr w:type="spellStart"/>
      <w:r>
        <w:rPr>
          <w:rFonts w:ascii="Arial" w:hAnsi="Arial"/>
          <w:sz w:val="22"/>
          <w:szCs w:val="22"/>
          <w:lang w:val="es-PE"/>
        </w:rPr>
        <w:t>geomecánico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se realizó una interpretación cronológica de los lineamientos identificados para dividirlos en las distintas fases tectónicas atribuidas a la evolución de los Andes Centrales y poder determinar los cuerpos competentes. Este modelamiento fue implementado con Python mediante la adaptación del esquema de solución que utiliza UDEC realizándose 4 variaciones del modelo en cuanto a la orientación del esfuerzo principal y el estado de saturación. </w:t>
      </w:r>
      <w:proofErr w:type="gramStart"/>
      <w:r>
        <w:rPr>
          <w:rFonts w:ascii="Arial" w:hAnsi="Arial"/>
          <w:sz w:val="22"/>
          <w:szCs w:val="22"/>
          <w:lang w:val="es-PE"/>
        </w:rPr>
        <w:t>Finalmente</w:t>
      </w:r>
      <w:proofErr w:type="gramEnd"/>
      <w:r>
        <w:rPr>
          <w:rFonts w:ascii="Arial" w:hAnsi="Arial"/>
          <w:sz w:val="22"/>
          <w:szCs w:val="22"/>
          <w:lang w:val="es-PE"/>
        </w:rPr>
        <w:t xml:space="preserve"> mediante el uso de QGIS se realizó el análisis de Peso de Evidencia (</w:t>
      </w:r>
      <w:proofErr w:type="spellStart"/>
      <w:r>
        <w:rPr>
          <w:rFonts w:ascii="Arial" w:hAnsi="Arial"/>
          <w:sz w:val="22"/>
          <w:szCs w:val="22"/>
          <w:lang w:val="es-PE"/>
        </w:rPr>
        <w:t>WoE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). Todo el procesamiento se realizó utilizando herramientas de software gratuito y libre como QGIS, </w:t>
      </w:r>
      <w:proofErr w:type="spellStart"/>
      <w:r>
        <w:rPr>
          <w:rFonts w:ascii="Arial" w:hAnsi="Arial"/>
          <w:sz w:val="22"/>
          <w:szCs w:val="22"/>
          <w:lang w:val="es-PE"/>
        </w:rPr>
        <w:t>RStudio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, </w:t>
      </w:r>
      <w:proofErr w:type="spellStart"/>
      <w:r>
        <w:rPr>
          <w:rFonts w:ascii="Arial" w:hAnsi="Arial"/>
          <w:sz w:val="22"/>
          <w:szCs w:val="22"/>
          <w:lang w:val="es-PE"/>
        </w:rPr>
        <w:t>OpenStereo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, </w:t>
      </w:r>
      <w:proofErr w:type="spellStart"/>
      <w:r>
        <w:rPr>
          <w:rFonts w:ascii="Arial" w:hAnsi="Arial"/>
          <w:sz w:val="22"/>
          <w:szCs w:val="22"/>
          <w:lang w:val="es-PE"/>
        </w:rPr>
        <w:t>DotProc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y Python, asegurando la reproducibilidad y escalabilidad del enfoque para su aplicación en otras zonas de estudio. </w:t>
      </w:r>
    </w:p>
    <w:p w14:paraId="39FBBFAC" w14:textId="77777777" w:rsidR="00F173AA" w:rsidRDefault="00F173AA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</w:p>
    <w:p w14:paraId="09F5025A" w14:textId="77777777" w:rsidR="00F173AA" w:rsidRDefault="00000000">
      <w:pPr>
        <w:spacing w:line="360" w:lineRule="auto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sz w:val="22"/>
          <w:szCs w:val="22"/>
          <w:lang w:val="es-PE"/>
        </w:rPr>
        <w:t xml:space="preserve">A partir de los resultados del análisis espacial se observa una clara correlación entre las ocurrencias de mineralización Fe–Cu y lineamientos con orientación NO-SE, lo que indica un fuerte control estructural en la región. Este patrón se repite en los dominios geotectónicos analizados (segmentos </w:t>
      </w:r>
      <w:proofErr w:type="spellStart"/>
      <w:r>
        <w:rPr>
          <w:rFonts w:ascii="Arial" w:hAnsi="Arial"/>
          <w:sz w:val="22"/>
          <w:szCs w:val="22"/>
          <w:lang w:val="es-PE"/>
        </w:rPr>
        <w:t>Ite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y Miraflores del Dominio de la Cordillera de la Costa y el Dominio Moquegua). En base al modelamiento </w:t>
      </w:r>
      <w:proofErr w:type="spellStart"/>
      <w:r>
        <w:rPr>
          <w:rFonts w:ascii="Arial" w:hAnsi="Arial"/>
          <w:sz w:val="22"/>
          <w:szCs w:val="22"/>
          <w:lang w:val="es-PE"/>
        </w:rPr>
        <w:t>geomecánico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se ha observado que dichas estructuras han favorecido la circulación de fluidos hidrotermales, especialmente en zonas de intersección de fallas y lineamientos. Estas evidencias indican que la mineralización tipo IOCG del Cretácico Inferior está fuertemente influenciada por la arquitectura estructural regional, particularmente por estructuras NO-SE y sus intersecciones, lo que se atribuye a las fases </w:t>
      </w:r>
      <w:proofErr w:type="spellStart"/>
      <w:r>
        <w:rPr>
          <w:rFonts w:ascii="Arial" w:hAnsi="Arial"/>
          <w:sz w:val="22"/>
          <w:szCs w:val="22"/>
          <w:lang w:val="es-PE"/>
        </w:rPr>
        <w:t>Nevadiana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y </w:t>
      </w:r>
      <w:proofErr w:type="spellStart"/>
      <w:r>
        <w:rPr>
          <w:rFonts w:ascii="Arial" w:hAnsi="Arial"/>
          <w:sz w:val="22"/>
          <w:szCs w:val="22"/>
          <w:lang w:val="es-PE"/>
        </w:rPr>
        <w:t>Cenomaniana</w:t>
      </w:r>
      <w:proofErr w:type="spellEnd"/>
      <w:r>
        <w:rPr>
          <w:rFonts w:ascii="Arial" w:hAnsi="Arial"/>
          <w:sz w:val="22"/>
          <w:szCs w:val="22"/>
          <w:lang w:val="es-PE"/>
        </w:rPr>
        <w:t>. El análisis por Peso de Evidencia (</w:t>
      </w:r>
      <w:proofErr w:type="spellStart"/>
      <w:r>
        <w:rPr>
          <w:rFonts w:ascii="Arial" w:hAnsi="Arial"/>
          <w:sz w:val="22"/>
          <w:szCs w:val="22"/>
          <w:lang w:val="es-PE"/>
        </w:rPr>
        <w:t>Weight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s-PE"/>
        </w:rPr>
        <w:t>of</w:t>
      </w:r>
      <w:proofErr w:type="spellEnd"/>
      <w:r>
        <w:rPr>
          <w:rFonts w:ascii="Arial" w:hAnsi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s-PE"/>
        </w:rPr>
        <w:t>Evidence</w:t>
      </w:r>
      <w:proofErr w:type="spellEnd"/>
      <w:r>
        <w:rPr>
          <w:rFonts w:ascii="Arial" w:hAnsi="Arial"/>
          <w:sz w:val="22"/>
          <w:szCs w:val="22"/>
          <w:lang w:val="es-PE"/>
        </w:rPr>
        <w:t>) de la integración de los resultados anteriores permitió identificar cuatro zonas prioritarias para la exploración, validando el enfoque propuesto al coincidir una de ellas con el depósito Hierro Morritos.</w:t>
      </w:r>
    </w:p>
    <w:sectPr w:rsidR="00F173AA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charset w:val="00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27D"/>
    <w:multiLevelType w:val="multilevel"/>
    <w:tmpl w:val="F79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D1B2037"/>
    <w:multiLevelType w:val="multilevel"/>
    <w:tmpl w:val="0BC6EF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78379783">
    <w:abstractNumId w:val="0"/>
  </w:num>
  <w:num w:numId="2" w16cid:durableId="102073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AA"/>
    <w:rsid w:val="0095292A"/>
    <w:rsid w:val="00E42B1B"/>
    <w:rsid w:val="00F1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81195"/>
  <w15:docId w15:val="{2D58D8B7-67C1-48E0-9A94-F6FCE528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801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Bustamante</dc:creator>
  <dc:description/>
  <cp:lastModifiedBy>Carla Bustamante</cp:lastModifiedBy>
  <cp:revision>2</cp:revision>
  <dcterms:created xsi:type="dcterms:W3CDTF">2025-05-02T17:28:00Z</dcterms:created>
  <dcterms:modified xsi:type="dcterms:W3CDTF">2025-05-02T17:28:00Z</dcterms:modified>
  <dc:language>en-US</dc:language>
</cp:coreProperties>
</file>