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D1A54" w:rsidRPr="008D1A54" w:rsidRDefault="008D1A54" w:rsidP="008D1A54">
      <w:pPr>
        <w:spacing w:line="360" w:lineRule="auto"/>
        <w:rPr>
          <w:rFonts w:ascii="Arial" w:hAnsi="Arial" w:cs="Arial"/>
        </w:rPr>
      </w:pPr>
      <w:r w:rsidRPr="008D1A54">
        <w:rPr>
          <w:rFonts w:ascii="Arial" w:hAnsi="Arial" w:cs="Arial"/>
        </w:rPr>
        <w:t>Título del trabajo:</w:t>
      </w:r>
    </w:p>
    <w:p w:rsidR="008D1A54" w:rsidRPr="008D1A54" w:rsidRDefault="008D1A54" w:rsidP="008D1A54">
      <w:pPr>
        <w:spacing w:line="360" w:lineRule="auto"/>
        <w:rPr>
          <w:rFonts w:ascii="Arial" w:hAnsi="Arial" w:cs="Arial"/>
        </w:rPr>
      </w:pPr>
      <w:r w:rsidRPr="008D1A54">
        <w:rPr>
          <w:rFonts w:ascii="Arial" w:hAnsi="Arial" w:cs="Arial"/>
        </w:rPr>
        <w:t>De la Obligación al Compromiso: Revolucionando las Capacitaciones Mineras con Gamificación</w:t>
      </w:r>
    </w:p>
    <w:p w:rsidR="008D1A54" w:rsidRPr="008D1A54" w:rsidRDefault="008D1A54" w:rsidP="008D1A54">
      <w:pPr>
        <w:spacing w:line="360" w:lineRule="auto"/>
        <w:rPr>
          <w:rFonts w:ascii="Arial" w:hAnsi="Arial" w:cs="Arial"/>
        </w:rPr>
      </w:pPr>
    </w:p>
    <w:p w:rsidR="008D1A54" w:rsidRPr="008D1A54" w:rsidRDefault="008D1A54" w:rsidP="008D1A54">
      <w:pPr>
        <w:spacing w:line="360" w:lineRule="auto"/>
        <w:rPr>
          <w:rFonts w:ascii="Arial" w:hAnsi="Arial" w:cs="Arial"/>
        </w:rPr>
      </w:pPr>
      <w:r w:rsidRPr="008D1A54">
        <w:rPr>
          <w:rFonts w:ascii="Arial" w:hAnsi="Arial" w:cs="Arial"/>
        </w:rPr>
        <w:t>Categoría:</w:t>
      </w:r>
    </w:p>
    <w:p w:rsidR="008D1A54" w:rsidRPr="008D1A54" w:rsidRDefault="008D1A54" w:rsidP="008D1A54">
      <w:pPr>
        <w:spacing w:line="360" w:lineRule="auto"/>
        <w:rPr>
          <w:rFonts w:ascii="Arial" w:hAnsi="Arial" w:cs="Arial"/>
        </w:rPr>
      </w:pPr>
      <w:r w:rsidRPr="008D1A54">
        <w:rPr>
          <w:rFonts w:ascii="Arial" w:hAnsi="Arial" w:cs="Arial"/>
        </w:rPr>
        <w:t>Minería 4.0</w:t>
      </w:r>
    </w:p>
    <w:p w:rsidR="008D1A54" w:rsidRPr="008D1A54" w:rsidRDefault="008D1A54" w:rsidP="008D1A54">
      <w:pPr>
        <w:spacing w:line="360" w:lineRule="auto"/>
        <w:rPr>
          <w:rFonts w:ascii="Arial" w:hAnsi="Arial" w:cs="Arial"/>
        </w:rPr>
      </w:pPr>
    </w:p>
    <w:p w:rsidR="008D1A54" w:rsidRPr="008D1A54" w:rsidRDefault="008D1A54" w:rsidP="008D1A54">
      <w:pPr>
        <w:spacing w:line="360" w:lineRule="auto"/>
        <w:rPr>
          <w:rFonts w:ascii="Arial" w:hAnsi="Arial" w:cs="Arial"/>
        </w:rPr>
      </w:pPr>
      <w:r w:rsidRPr="008D1A54">
        <w:rPr>
          <w:rFonts w:ascii="Arial" w:hAnsi="Arial" w:cs="Arial"/>
        </w:rPr>
        <w:t>Tema:</w:t>
      </w:r>
    </w:p>
    <w:p w:rsidR="008D1A54" w:rsidRDefault="008D1A54" w:rsidP="008D1A54">
      <w:pPr>
        <w:pBdr>
          <w:bottom w:val="single" w:sz="12" w:space="1" w:color="auto"/>
        </w:pBdr>
        <w:spacing w:line="360" w:lineRule="auto"/>
        <w:rPr>
          <w:rFonts w:ascii="Arial" w:hAnsi="Arial" w:cs="Arial"/>
        </w:rPr>
      </w:pPr>
      <w:r w:rsidRPr="008D1A54">
        <w:rPr>
          <w:rFonts w:ascii="Arial" w:hAnsi="Arial" w:cs="Arial"/>
        </w:rPr>
        <w:t>Tecnología e innovaciones en seguridad</w:t>
      </w:r>
    </w:p>
    <w:p w:rsidR="008D1A54" w:rsidRPr="008D1A54" w:rsidRDefault="008D1A54" w:rsidP="008D1A54">
      <w:pPr>
        <w:spacing w:line="360" w:lineRule="auto"/>
        <w:rPr>
          <w:rFonts w:ascii="Arial" w:hAnsi="Arial" w:cs="Arial"/>
        </w:rPr>
      </w:pPr>
    </w:p>
    <w:p w:rsidR="008D1A54" w:rsidRPr="008D1A54" w:rsidRDefault="008D1A54" w:rsidP="008D1A54">
      <w:pPr>
        <w:spacing w:line="360" w:lineRule="auto"/>
        <w:rPr>
          <w:rFonts w:ascii="Arial" w:hAnsi="Arial" w:cs="Arial"/>
        </w:rPr>
      </w:pPr>
      <w:r w:rsidRPr="008D1A54">
        <w:rPr>
          <w:rFonts w:ascii="Arial" w:hAnsi="Arial" w:cs="Arial"/>
        </w:rPr>
        <w:t xml:space="preserve">1. </w:t>
      </w:r>
      <w:r>
        <w:rPr>
          <w:rFonts w:ascii="Arial" w:hAnsi="Arial" w:cs="Arial"/>
        </w:rPr>
        <w:t xml:space="preserve">Introducción: </w:t>
      </w:r>
    </w:p>
    <w:p w:rsidR="008D1A54" w:rsidRPr="008D1A54" w:rsidRDefault="008D1A54" w:rsidP="008D1A54">
      <w:pPr>
        <w:spacing w:line="360" w:lineRule="auto"/>
        <w:rPr>
          <w:rFonts w:ascii="Arial" w:hAnsi="Arial" w:cs="Arial"/>
        </w:rPr>
      </w:pPr>
      <w:r w:rsidRPr="008D1A54">
        <w:rPr>
          <w:rFonts w:ascii="Arial" w:hAnsi="Arial" w:cs="Arial"/>
        </w:rPr>
        <w:t>La industria minera peruana representa uno de los pilares fundamentales de la economía nacional, pero también constituye uno de los sectores con mayores índices de riesgo para la salud y seguridad de sus trabajadores. Las condiciones extremas, el uso de maquinaria pesada, los ambientes confinados y la exposición constante a situaciones de alto peligro hacen que la seguridad laboral sea una prioridad ineludible. No obstante, a pesar de la implementación de protocolos y normativas estrictas, los accidentes continúan ocurriendo.</w:t>
      </w:r>
    </w:p>
    <w:p w:rsidR="008D1A54" w:rsidRPr="008D1A54" w:rsidRDefault="008D1A54" w:rsidP="008D1A54">
      <w:pPr>
        <w:spacing w:line="360" w:lineRule="auto"/>
        <w:rPr>
          <w:rFonts w:ascii="Arial" w:hAnsi="Arial" w:cs="Arial"/>
        </w:rPr>
      </w:pPr>
    </w:p>
    <w:p w:rsidR="008D1A54" w:rsidRPr="008D1A54" w:rsidRDefault="008D1A54" w:rsidP="008D1A54">
      <w:pPr>
        <w:spacing w:line="360" w:lineRule="auto"/>
        <w:rPr>
          <w:rFonts w:ascii="Arial" w:hAnsi="Arial" w:cs="Arial"/>
        </w:rPr>
      </w:pPr>
      <w:r w:rsidRPr="008D1A54">
        <w:rPr>
          <w:rFonts w:ascii="Arial" w:hAnsi="Arial" w:cs="Arial"/>
        </w:rPr>
        <w:t>Según el reporte de 2024 del Ministerio de Energía y Minas (MINEM), se registraron 22 muertes en el sector minero, lo cual evidencia que las estrategias actuales de capacitación en seguridad no están logrando el impacto deseado. En este contexto, surge la necesidad de innovar en los métodos de enseñanza, pasando de una capacitación obligatoria y pasiva a una experiencia de aprendizaje activa, motivadora y significativa.</w:t>
      </w:r>
    </w:p>
    <w:p w:rsidR="008D1A54" w:rsidRPr="008D1A54" w:rsidRDefault="008D1A54" w:rsidP="008D1A54">
      <w:pPr>
        <w:spacing w:line="360" w:lineRule="auto"/>
        <w:rPr>
          <w:rFonts w:ascii="Arial" w:hAnsi="Arial" w:cs="Arial"/>
        </w:rPr>
      </w:pPr>
    </w:p>
    <w:p w:rsidR="008D1A54" w:rsidRPr="008D1A54" w:rsidRDefault="008D1A54" w:rsidP="008D1A54">
      <w:pPr>
        <w:spacing w:line="360" w:lineRule="auto"/>
        <w:rPr>
          <w:rFonts w:ascii="Arial" w:hAnsi="Arial" w:cs="Arial"/>
        </w:rPr>
      </w:pPr>
      <w:r w:rsidRPr="008D1A54">
        <w:rPr>
          <w:rFonts w:ascii="Arial" w:hAnsi="Arial" w:cs="Arial"/>
        </w:rPr>
        <w:t>Este trabajo se enmarca en el área técnica de la seguridad industrial dentro de la minería, y explora el uso de herramientas tecnológicas innovadoras para mejorar los procesos formativos, específicamente a través de la gamificación.</w:t>
      </w:r>
    </w:p>
    <w:p w:rsidR="008D1A54" w:rsidRPr="008D1A54" w:rsidRDefault="008D1A54" w:rsidP="008D1A54">
      <w:pPr>
        <w:spacing w:line="360" w:lineRule="auto"/>
        <w:rPr>
          <w:rFonts w:ascii="Arial" w:hAnsi="Arial" w:cs="Arial"/>
        </w:rPr>
      </w:pPr>
    </w:p>
    <w:p w:rsidR="008D1A54" w:rsidRPr="008D1A54" w:rsidRDefault="008D1A54" w:rsidP="008D1A54">
      <w:pPr>
        <w:spacing w:line="360" w:lineRule="auto"/>
        <w:rPr>
          <w:rFonts w:ascii="Arial" w:hAnsi="Arial" w:cs="Arial"/>
        </w:rPr>
      </w:pPr>
      <w:r w:rsidRPr="008D1A54">
        <w:rPr>
          <w:rFonts w:ascii="Arial" w:hAnsi="Arial" w:cs="Arial"/>
        </w:rPr>
        <w:lastRenderedPageBreak/>
        <w:t>2. Objetivos del trabajo</w:t>
      </w:r>
    </w:p>
    <w:p w:rsidR="008D1A54" w:rsidRPr="008D1A54" w:rsidRDefault="008D1A54" w:rsidP="008D1A54">
      <w:pPr>
        <w:spacing w:line="360" w:lineRule="auto"/>
        <w:rPr>
          <w:rFonts w:ascii="Arial" w:hAnsi="Arial" w:cs="Arial"/>
        </w:rPr>
      </w:pPr>
      <w:r w:rsidRPr="008D1A54">
        <w:rPr>
          <w:rFonts w:ascii="Arial" w:hAnsi="Arial" w:cs="Arial"/>
        </w:rPr>
        <w:t>Este estudio tiene como propósito principal demostrar cómo la implementación de estrategias de gamificación puede transformar las capacitaciones obligatorias de seguridad en la minería peruana. Se busca evidenciar su potencial no solo como técnica didáctica, sino como un recurso transformador de la cultura organizacional en materia de prevención de riesgos.</w:t>
      </w:r>
    </w:p>
    <w:p w:rsidR="008D1A54" w:rsidRPr="008D1A54" w:rsidRDefault="008D1A54" w:rsidP="008D1A54">
      <w:pPr>
        <w:spacing w:line="360" w:lineRule="auto"/>
        <w:rPr>
          <w:rFonts w:ascii="Arial" w:hAnsi="Arial" w:cs="Arial"/>
        </w:rPr>
      </w:pPr>
    </w:p>
    <w:p w:rsidR="008D1A54" w:rsidRPr="008D1A54" w:rsidRDefault="008D1A54" w:rsidP="008D1A54">
      <w:pPr>
        <w:spacing w:line="360" w:lineRule="auto"/>
        <w:rPr>
          <w:rFonts w:ascii="Arial" w:hAnsi="Arial" w:cs="Arial"/>
        </w:rPr>
      </w:pPr>
      <w:r w:rsidRPr="008D1A54">
        <w:rPr>
          <w:rFonts w:ascii="Arial" w:hAnsi="Arial" w:cs="Arial"/>
        </w:rPr>
        <w:t>Además, se pretende:</w:t>
      </w:r>
    </w:p>
    <w:p w:rsidR="008D1A54" w:rsidRPr="008D1A54" w:rsidRDefault="008D1A54" w:rsidP="008D1A54">
      <w:pPr>
        <w:spacing w:line="360" w:lineRule="auto"/>
        <w:rPr>
          <w:rFonts w:ascii="Arial" w:hAnsi="Arial" w:cs="Arial"/>
        </w:rPr>
      </w:pPr>
    </w:p>
    <w:p w:rsidR="008D1A54" w:rsidRPr="008D1A54" w:rsidRDefault="008D1A54" w:rsidP="008D1A54">
      <w:pPr>
        <w:pStyle w:val="Prrafodelista"/>
        <w:numPr>
          <w:ilvl w:val="0"/>
          <w:numId w:val="1"/>
        </w:numPr>
        <w:spacing w:line="360" w:lineRule="auto"/>
        <w:rPr>
          <w:rFonts w:ascii="Arial" w:hAnsi="Arial" w:cs="Arial"/>
        </w:rPr>
      </w:pPr>
      <w:r w:rsidRPr="008D1A54">
        <w:rPr>
          <w:rFonts w:ascii="Arial" w:hAnsi="Arial" w:cs="Arial"/>
        </w:rPr>
        <w:t>Analizar las aplicaciones actuales de la gamificación en entornos de trabajo de alto riesgo.</w:t>
      </w:r>
    </w:p>
    <w:p w:rsidR="008D1A54" w:rsidRPr="008D1A54" w:rsidRDefault="008D1A54" w:rsidP="008D1A54">
      <w:pPr>
        <w:spacing w:line="360" w:lineRule="auto"/>
        <w:rPr>
          <w:rFonts w:ascii="Arial" w:hAnsi="Arial" w:cs="Arial"/>
        </w:rPr>
      </w:pPr>
    </w:p>
    <w:p w:rsidR="008D1A54" w:rsidRPr="008D1A54" w:rsidRDefault="008D1A54" w:rsidP="008D1A54">
      <w:pPr>
        <w:pStyle w:val="Prrafodelista"/>
        <w:numPr>
          <w:ilvl w:val="0"/>
          <w:numId w:val="1"/>
        </w:numPr>
        <w:spacing w:line="360" w:lineRule="auto"/>
        <w:rPr>
          <w:rFonts w:ascii="Arial" w:hAnsi="Arial" w:cs="Arial"/>
        </w:rPr>
      </w:pPr>
      <w:r w:rsidRPr="008D1A54">
        <w:rPr>
          <w:rFonts w:ascii="Arial" w:hAnsi="Arial" w:cs="Arial"/>
        </w:rPr>
        <w:t>Identificar los beneficios y desafíos de su implementación en la industria minera.</w:t>
      </w:r>
    </w:p>
    <w:p w:rsidR="008D1A54" w:rsidRPr="008D1A54" w:rsidRDefault="008D1A54" w:rsidP="008D1A54">
      <w:pPr>
        <w:spacing w:line="360" w:lineRule="auto"/>
        <w:rPr>
          <w:rFonts w:ascii="Arial" w:hAnsi="Arial" w:cs="Arial"/>
        </w:rPr>
      </w:pPr>
    </w:p>
    <w:p w:rsidR="008D1A54" w:rsidRPr="008D1A54" w:rsidRDefault="008D1A54" w:rsidP="008D1A54">
      <w:pPr>
        <w:pStyle w:val="Prrafodelista"/>
        <w:numPr>
          <w:ilvl w:val="0"/>
          <w:numId w:val="1"/>
        </w:numPr>
        <w:spacing w:line="360" w:lineRule="auto"/>
        <w:rPr>
          <w:rFonts w:ascii="Arial" w:hAnsi="Arial" w:cs="Arial"/>
        </w:rPr>
      </w:pPr>
      <w:r w:rsidRPr="008D1A54">
        <w:rPr>
          <w:rFonts w:ascii="Arial" w:hAnsi="Arial" w:cs="Arial"/>
        </w:rPr>
        <w:t>Proponer un enfoque innovador que motive a los trabajadores a comprometerse activamente con su seguridad y la de sus compañeros.</w:t>
      </w:r>
    </w:p>
    <w:p w:rsidR="008D1A54" w:rsidRPr="008D1A54" w:rsidRDefault="008D1A54" w:rsidP="008D1A54">
      <w:pPr>
        <w:spacing w:line="360" w:lineRule="auto"/>
        <w:rPr>
          <w:rFonts w:ascii="Arial" w:hAnsi="Arial" w:cs="Arial"/>
        </w:rPr>
      </w:pPr>
    </w:p>
    <w:p w:rsidR="008D1A54" w:rsidRPr="008D1A54" w:rsidRDefault="008D1A54" w:rsidP="008D1A54">
      <w:pPr>
        <w:spacing w:line="360" w:lineRule="auto"/>
        <w:rPr>
          <w:rFonts w:ascii="Arial" w:hAnsi="Arial" w:cs="Arial"/>
        </w:rPr>
      </w:pPr>
      <w:r w:rsidRPr="008D1A54">
        <w:rPr>
          <w:rFonts w:ascii="Arial" w:hAnsi="Arial" w:cs="Arial"/>
        </w:rPr>
        <w:t>3. Metodología empleada</w:t>
      </w:r>
    </w:p>
    <w:p w:rsidR="008D1A54" w:rsidRPr="008D1A54" w:rsidRDefault="008D1A54" w:rsidP="008D1A54">
      <w:pPr>
        <w:spacing w:line="360" w:lineRule="auto"/>
        <w:rPr>
          <w:rFonts w:ascii="Arial" w:hAnsi="Arial" w:cs="Arial"/>
        </w:rPr>
      </w:pPr>
      <w:r w:rsidRPr="008D1A54">
        <w:rPr>
          <w:rFonts w:ascii="Arial" w:hAnsi="Arial" w:cs="Arial"/>
        </w:rPr>
        <w:t xml:space="preserve">El enfoque metodológico de este trabajo se basa en una revisión bibliográfica y documental sobre el uso de la gamificación en contextos laborales, especialmente en aquellos considerados de alto riesgo. Se analizaron casos de éxito, modelos de implementación y estudios académicos que evidencian su efectividad en mejorar la motivación, retención de conocimientos y la cultura de seguridad. </w:t>
      </w:r>
    </w:p>
    <w:p w:rsidR="008D1A54" w:rsidRPr="008D1A54" w:rsidRDefault="008D1A54" w:rsidP="008D1A54">
      <w:pPr>
        <w:spacing w:line="360" w:lineRule="auto"/>
        <w:rPr>
          <w:rFonts w:ascii="Arial" w:hAnsi="Arial" w:cs="Arial"/>
        </w:rPr>
      </w:pPr>
    </w:p>
    <w:p w:rsidR="008D1A54" w:rsidRPr="008D1A54" w:rsidRDefault="008D1A54" w:rsidP="008D1A54">
      <w:pPr>
        <w:spacing w:line="360" w:lineRule="auto"/>
        <w:rPr>
          <w:rFonts w:ascii="Arial" w:hAnsi="Arial" w:cs="Arial"/>
        </w:rPr>
      </w:pPr>
      <w:r w:rsidRPr="008D1A54">
        <w:rPr>
          <w:rFonts w:ascii="Arial" w:hAnsi="Arial" w:cs="Arial"/>
        </w:rPr>
        <w:t>4. Resultados alcanzados</w:t>
      </w:r>
    </w:p>
    <w:p w:rsidR="008D1A54" w:rsidRPr="008D1A54" w:rsidRDefault="008D1A54" w:rsidP="008D1A54">
      <w:pPr>
        <w:spacing w:line="360" w:lineRule="auto"/>
        <w:rPr>
          <w:rFonts w:ascii="Arial" w:hAnsi="Arial" w:cs="Arial"/>
        </w:rPr>
      </w:pPr>
      <w:r w:rsidRPr="008D1A54">
        <w:rPr>
          <w:rFonts w:ascii="Arial" w:hAnsi="Arial" w:cs="Arial"/>
        </w:rPr>
        <w:t>La revisión realizada permitió constatar que la gamificación, al incorporar dinámicas propias del juego como recompensas, retos, competencias y simulaciones, favorece el aprendizaje activo y mejora la asimilación de contenidos críticos en materia de seguridad. Además, se identificó que:</w:t>
      </w:r>
    </w:p>
    <w:p w:rsidR="008D1A54" w:rsidRPr="008D1A54" w:rsidRDefault="008D1A54" w:rsidP="008D1A54">
      <w:pPr>
        <w:spacing w:line="360" w:lineRule="auto"/>
        <w:rPr>
          <w:rFonts w:ascii="Arial" w:hAnsi="Arial" w:cs="Arial"/>
        </w:rPr>
      </w:pPr>
    </w:p>
    <w:p w:rsidR="008D1A54" w:rsidRPr="008D1A54" w:rsidRDefault="008D1A54" w:rsidP="008D1A54">
      <w:pPr>
        <w:pStyle w:val="Prrafodelista"/>
        <w:numPr>
          <w:ilvl w:val="0"/>
          <w:numId w:val="2"/>
        </w:numPr>
        <w:spacing w:line="360" w:lineRule="auto"/>
        <w:rPr>
          <w:rFonts w:ascii="Arial" w:hAnsi="Arial" w:cs="Arial"/>
        </w:rPr>
      </w:pPr>
      <w:r w:rsidRPr="008D1A54">
        <w:rPr>
          <w:rFonts w:ascii="Arial" w:hAnsi="Arial" w:cs="Arial"/>
        </w:rPr>
        <w:t>Aumenta significativamente el nivel de participación y compromiso de los trabajadores.</w:t>
      </w:r>
    </w:p>
    <w:p w:rsidR="008D1A54" w:rsidRPr="008D1A54" w:rsidRDefault="008D1A54" w:rsidP="008D1A54">
      <w:pPr>
        <w:spacing w:line="360" w:lineRule="auto"/>
        <w:rPr>
          <w:rFonts w:ascii="Arial" w:hAnsi="Arial" w:cs="Arial"/>
        </w:rPr>
      </w:pPr>
    </w:p>
    <w:p w:rsidR="008D1A54" w:rsidRPr="008D1A54" w:rsidRDefault="008D1A54" w:rsidP="008D1A54">
      <w:pPr>
        <w:pStyle w:val="Prrafodelista"/>
        <w:numPr>
          <w:ilvl w:val="0"/>
          <w:numId w:val="2"/>
        </w:numPr>
        <w:spacing w:line="360" w:lineRule="auto"/>
        <w:rPr>
          <w:rFonts w:ascii="Arial" w:hAnsi="Arial" w:cs="Arial"/>
        </w:rPr>
      </w:pPr>
      <w:r w:rsidRPr="008D1A54">
        <w:rPr>
          <w:rFonts w:ascii="Arial" w:hAnsi="Arial" w:cs="Arial"/>
        </w:rPr>
        <w:t>Mejora la retención de información vital relacionada con procedimientos seguros.</w:t>
      </w:r>
    </w:p>
    <w:p w:rsidR="008D1A54" w:rsidRPr="008D1A54" w:rsidRDefault="008D1A54" w:rsidP="008D1A54">
      <w:pPr>
        <w:spacing w:line="360" w:lineRule="auto"/>
        <w:rPr>
          <w:rFonts w:ascii="Arial" w:hAnsi="Arial" w:cs="Arial"/>
        </w:rPr>
      </w:pPr>
    </w:p>
    <w:p w:rsidR="008D1A54" w:rsidRPr="008D1A54" w:rsidRDefault="008D1A54" w:rsidP="008D1A54">
      <w:pPr>
        <w:pStyle w:val="Prrafodelista"/>
        <w:numPr>
          <w:ilvl w:val="0"/>
          <w:numId w:val="2"/>
        </w:numPr>
        <w:spacing w:line="360" w:lineRule="auto"/>
        <w:rPr>
          <w:rFonts w:ascii="Arial" w:hAnsi="Arial" w:cs="Arial"/>
        </w:rPr>
      </w:pPr>
      <w:r w:rsidRPr="008D1A54">
        <w:rPr>
          <w:rFonts w:ascii="Arial" w:hAnsi="Arial" w:cs="Arial"/>
        </w:rPr>
        <w:t>Fomenta una cultura organizacional orientada a la prevención y la mejora continua.</w:t>
      </w:r>
    </w:p>
    <w:p w:rsidR="008D1A54" w:rsidRPr="008D1A54" w:rsidRDefault="008D1A54" w:rsidP="008D1A54">
      <w:pPr>
        <w:spacing w:line="360" w:lineRule="auto"/>
        <w:rPr>
          <w:rFonts w:ascii="Arial" w:hAnsi="Arial" w:cs="Arial"/>
        </w:rPr>
      </w:pPr>
    </w:p>
    <w:p w:rsidR="008D1A54" w:rsidRPr="008D1A54" w:rsidRDefault="008D1A54" w:rsidP="008D1A54">
      <w:pPr>
        <w:pStyle w:val="Prrafodelista"/>
        <w:numPr>
          <w:ilvl w:val="0"/>
          <w:numId w:val="2"/>
        </w:numPr>
        <w:spacing w:line="360" w:lineRule="auto"/>
        <w:rPr>
          <w:rFonts w:ascii="Arial" w:hAnsi="Arial" w:cs="Arial"/>
        </w:rPr>
      </w:pPr>
      <w:r w:rsidRPr="008D1A54">
        <w:rPr>
          <w:rFonts w:ascii="Arial" w:hAnsi="Arial" w:cs="Arial"/>
        </w:rPr>
        <w:t>Estos hallazgos sugieren que la gamificación puede ser una herramienta poderosa para revertir la apatía y la rutina asociadas a las capacitaciones tradicionales.</w:t>
      </w:r>
    </w:p>
    <w:p w:rsidR="008D1A54" w:rsidRPr="008D1A54" w:rsidRDefault="008D1A54" w:rsidP="008D1A54">
      <w:pPr>
        <w:spacing w:line="360" w:lineRule="auto"/>
        <w:rPr>
          <w:rFonts w:ascii="Arial" w:hAnsi="Arial" w:cs="Arial"/>
        </w:rPr>
      </w:pPr>
    </w:p>
    <w:p w:rsidR="008D1A54" w:rsidRPr="008D1A54" w:rsidRDefault="008D1A54" w:rsidP="008D1A54">
      <w:pPr>
        <w:spacing w:line="360" w:lineRule="auto"/>
        <w:rPr>
          <w:rFonts w:ascii="Arial" w:hAnsi="Arial" w:cs="Arial"/>
        </w:rPr>
      </w:pPr>
      <w:r w:rsidRPr="008D1A54">
        <w:rPr>
          <w:rFonts w:ascii="Arial" w:hAnsi="Arial" w:cs="Arial"/>
        </w:rPr>
        <w:t>5. Conclusión y recomendación</w:t>
      </w:r>
    </w:p>
    <w:p w:rsidR="008D1A54" w:rsidRPr="008D1A54" w:rsidRDefault="008D1A54" w:rsidP="008D1A54">
      <w:pPr>
        <w:spacing w:line="360" w:lineRule="auto"/>
        <w:rPr>
          <w:rFonts w:ascii="Arial" w:hAnsi="Arial" w:cs="Arial"/>
        </w:rPr>
      </w:pPr>
      <w:r w:rsidRPr="008D1A54">
        <w:rPr>
          <w:rFonts w:ascii="Arial" w:hAnsi="Arial" w:cs="Arial"/>
        </w:rPr>
        <w:t>La gamificación representa una oportunidad real para revolucionar la formación en seguridad en la minería</w:t>
      </w:r>
      <w:bookmarkStart w:id="0" w:name="_GoBack"/>
      <w:bookmarkEnd w:id="0"/>
      <w:r w:rsidRPr="008D1A54">
        <w:rPr>
          <w:rFonts w:ascii="Arial" w:hAnsi="Arial" w:cs="Arial"/>
        </w:rPr>
        <w:t>, transformando una obligación normativa en una experiencia significativa. Se recomienda a las organizaciones mineras explorar y adaptar estas estrategias en sus programas de capacitación, priorizando herramientas que simulen escenarios reales, promuevan la toma de decisiones bajo presión y generen un sentido de pertenencia y responsabilidad colectiva.</w:t>
      </w:r>
    </w:p>
    <w:p w:rsidR="008D1A54" w:rsidRPr="008D1A54" w:rsidRDefault="008D1A54" w:rsidP="008D1A54">
      <w:pPr>
        <w:spacing w:line="360" w:lineRule="auto"/>
        <w:rPr>
          <w:rFonts w:ascii="Arial" w:hAnsi="Arial" w:cs="Arial"/>
        </w:rPr>
      </w:pPr>
    </w:p>
    <w:p w:rsidR="008D1A54" w:rsidRPr="008D1A54" w:rsidRDefault="008D1A54" w:rsidP="008D1A54">
      <w:pPr>
        <w:spacing w:line="360" w:lineRule="auto"/>
        <w:rPr>
          <w:rFonts w:ascii="Arial" w:hAnsi="Arial" w:cs="Arial"/>
        </w:rPr>
      </w:pPr>
      <w:r w:rsidRPr="008D1A54">
        <w:rPr>
          <w:rFonts w:ascii="Arial" w:hAnsi="Arial" w:cs="Arial"/>
        </w:rPr>
        <w:t>Implementar esta innovación no solo puede reducir accidentes, sino también consolidar una cultura de seguridad sostenible, en la que cada trabajador se convertirá en protagonista activo de su bienestar y el de su equipo.</w:t>
      </w:r>
    </w:p>
    <w:p w:rsidR="0079598A" w:rsidRPr="002C1A2E" w:rsidRDefault="0079598A" w:rsidP="004B12A2">
      <w:pPr>
        <w:spacing w:line="360" w:lineRule="auto"/>
        <w:rPr>
          <w:rFonts w:ascii="Arial" w:hAnsi="Arial" w:cs="Arial"/>
        </w:rPr>
      </w:pPr>
    </w:p>
    <w:sectPr w:rsidR="0079598A" w:rsidRPr="002C1A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2244596"/>
    <w:multiLevelType w:val="hybridMultilevel"/>
    <w:tmpl w:val="8446EE5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723D6FF2"/>
    <w:multiLevelType w:val="hybridMultilevel"/>
    <w:tmpl w:val="C99E522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A2E"/>
    <w:rsid w:val="00014243"/>
    <w:rsid w:val="00275A47"/>
    <w:rsid w:val="002C1A2E"/>
    <w:rsid w:val="004B12A2"/>
    <w:rsid w:val="0079598A"/>
    <w:rsid w:val="008D1A54"/>
    <w:rsid w:val="00900F9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A134C"/>
  <w15:chartTrackingRefBased/>
  <w15:docId w15:val="{D0991BF3-62DC-4EF4-A46B-C36164DC2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D1A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1586215">
      <w:bodyDiv w:val="1"/>
      <w:marLeft w:val="0"/>
      <w:marRight w:val="0"/>
      <w:marTop w:val="0"/>
      <w:marBottom w:val="0"/>
      <w:divBdr>
        <w:top w:val="none" w:sz="0" w:space="0" w:color="auto"/>
        <w:left w:val="none" w:sz="0" w:space="0" w:color="auto"/>
        <w:bottom w:val="none" w:sz="0" w:space="0" w:color="auto"/>
        <w:right w:val="none" w:sz="0" w:space="0" w:color="auto"/>
      </w:divBdr>
    </w:div>
    <w:div w:id="844438915">
      <w:bodyDiv w:val="1"/>
      <w:marLeft w:val="0"/>
      <w:marRight w:val="0"/>
      <w:marTop w:val="0"/>
      <w:marBottom w:val="0"/>
      <w:divBdr>
        <w:top w:val="none" w:sz="0" w:space="0" w:color="auto"/>
        <w:left w:val="none" w:sz="0" w:space="0" w:color="auto"/>
        <w:bottom w:val="none" w:sz="0" w:space="0" w:color="auto"/>
        <w:right w:val="none" w:sz="0" w:space="0" w:color="auto"/>
      </w:divBdr>
    </w:div>
    <w:div w:id="1798328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610</Words>
  <Characters>3358</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Tecsup</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Hugo Humpiri Montoya</dc:creator>
  <cp:keywords/>
  <dc:description/>
  <cp:lastModifiedBy>Fernando Hugo Humpiri Montoya</cp:lastModifiedBy>
  <cp:revision>3</cp:revision>
  <dcterms:created xsi:type="dcterms:W3CDTF">2025-05-13T04:10:00Z</dcterms:created>
  <dcterms:modified xsi:type="dcterms:W3CDTF">2025-05-13T05:02:00Z</dcterms:modified>
</cp:coreProperties>
</file>