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2393795</wp:posOffset>
            </wp:positionH>
            <wp:positionV relativeFrom="paragraph">
              <wp:posOffset>114300</wp:posOffset>
            </wp:positionV>
            <wp:extent cx="971233" cy="803579"/>
            <wp:effectExtent b="0" l="0" r="0" t="0"/>
            <wp:wrapSquare wrapText="bothSides" distB="114300" distT="114300" distL="114300" distR="114300"/>
            <wp:docPr id="21470476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233" cy="803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Tema: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Lixiviación de mineral con alto contenido de Malaquita en </w:t>
      </w:r>
      <w:r w:rsidDel="00000000" w:rsidR="00000000" w:rsidRPr="00000000">
        <w:rPr>
          <w:rFonts w:ascii="Arial" w:cs="Arial" w:eastAsia="Arial" w:hAnsi="Arial"/>
          <w:rtl w:val="0"/>
        </w:rPr>
        <w:t xml:space="preserve">PAD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el proceso Cuprochlor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Categoría: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de Minerales y Metalurgia Extractiva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Autor: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Llamojha Cuya Axel Anchi 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Teléfono: 970577549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Correo electrónico: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axelllamojha270204@gmail.com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Reseña profesional: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Soy técnico en Procesos Químicos y Metalúrgicos, formado en el instituto TECSUP. He tenido experiencia como ayudante de laboratorio en planta piloto metalúrgica y he participado en prácticas en el laboratorio de minerales. Manejo herramientas como AutoCAD, Excel y Python a nivel intermedio. Me considero una persona responsable, con muchas ganas de aprender y crecer profesionalmente. Estoy interesado en formar parte de empresas del sector industrial minero, donde pueda aplicar y seguir desarrollando mis conocimientos.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Resumen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trabajo se desarrolló en el marco del estudio y optimización del proceso de lixiviación de minerales oxidados con alto contenido de malaquita, específicamente mediante el método CuproChlor, en la carrera de Procesos Químicos y Metalúrgicos en TECSUP. La investigación se enfocó en el campo de la hidrometalurgia, buscando una alternativa eficiente y sostenible para la recuperación de cobre a partir de minerales de baja ley.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principal fue evaluar la eficiencia del proceso CuproChlor en la extracción de cobre a través de pruebas en columnas, analizando variables como el tamaño de partícula, la aglomeración del mineral y la duración del curado, para determinar las condiciones óptimas que permitan una mayor recuperación del metal.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consistió en la preparación del mineral, aglomeración con reactivos (</w:t>
      </w:r>
      <w:r w:rsidDel="00000000" w:rsidR="00000000" w:rsidRPr="00000000">
        <w:rPr>
          <w:rFonts w:ascii="Arial" w:cs="Arial" w:eastAsia="Arial" w:hAnsi="Arial"/>
          <w:rtl w:val="0"/>
        </w:rPr>
        <w:t xml:space="preserve">H₂SO₄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CaCl₂</w:t>
      </w:r>
      <w:r w:rsidDel="00000000" w:rsidR="00000000" w:rsidRPr="00000000">
        <w:rPr>
          <w:rFonts w:ascii="Arial" w:cs="Arial" w:eastAsia="Arial" w:hAnsi="Arial"/>
          <w:rtl w:val="0"/>
        </w:rPr>
        <w:t xml:space="preserve">, NaCl, agua de mar), carguío de columnas, y seguimiento de la lixiviación durante 40 días. Se emplearon dos columnas: una con mineral aglomerado y otra sin aglomerar, comparando resultados mediante análisis físico-químicos del PLS (solución rica), control del pH, y cálculo de extracción.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resultados se observó que el mineral aglomerado mostró una mayor eficiencia en la recuperación de cobre, alcanzando un 97.5% de extracción, mientras que el mineral sin aglomerar logró un 96.4%. Se evidenció una cinética favorable en las primeras etapas del proceso, y una reducción del consumo de reactivos en el sistema aglomerado.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concluye que el proceso CuproChlor es viable y eficiente para la lixiviación de malaquita, siempre que se controlen adecuadamente variables como el tamaño de partícula y el pH. Se recomienda implementar monitoreos frecuentes del sistema y optimizar los tiempos de curado para mejorar la rentabilidad del proceso a escala industrial.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7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7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7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7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702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2766D"/>
  </w:style>
  <w:style w:type="paragraph" w:styleId="Ttulo1">
    <w:name w:val="heading 1"/>
    <w:basedOn w:val="Normal"/>
    <w:next w:val="Normal"/>
    <w:link w:val="Ttulo1Car"/>
    <w:uiPriority w:val="9"/>
    <w:qFormat w:val="1"/>
    <w:rsid w:val="006E1C7D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487409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487409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E1C7D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ES"/>
    </w:rPr>
  </w:style>
  <w:style w:type="paragraph" w:styleId="Prrafodelista">
    <w:name w:val="List Paragraph"/>
    <w:basedOn w:val="Normal"/>
    <w:uiPriority w:val="34"/>
    <w:qFormat w:val="1"/>
    <w:rsid w:val="006E1C7D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4721CA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A03D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A03DA"/>
  </w:style>
  <w:style w:type="paragraph" w:styleId="Piedepgina">
    <w:name w:val="footer"/>
    <w:basedOn w:val="Normal"/>
    <w:link w:val="PiedepginaCar"/>
    <w:uiPriority w:val="99"/>
    <w:unhideWhenUsed w:val="1"/>
    <w:rsid w:val="00CA03D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A03DA"/>
  </w:style>
  <w:style w:type="table" w:styleId="Tablanormal2">
    <w:name w:val="Plain Table 2"/>
    <w:basedOn w:val="Tablanormal"/>
    <w:uiPriority w:val="42"/>
    <w:rsid w:val="00361934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Hipervnculo">
    <w:name w:val="Hyperlink"/>
    <w:basedOn w:val="Fuentedeprrafopredeter"/>
    <w:uiPriority w:val="99"/>
    <w:unhideWhenUsed w:val="1"/>
    <w:rsid w:val="005C38F4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5C38F4"/>
    <w:rPr>
      <w:color w:val="605e5c"/>
      <w:shd w:color="auto" w:fill="e1dfdd" w:val="clear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487409"/>
    <w:pPr>
      <w:outlineLvl w:val="9"/>
    </w:pPr>
    <w:rPr>
      <w:lang w:eastAsia="es-PE" w:val="es-P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87409"/>
    <w:pPr>
      <w:spacing w:after="100"/>
    </w:pPr>
  </w:style>
  <w:style w:type="character" w:styleId="Ttulo2Car" w:customStyle="1">
    <w:name w:val="Título 2 Car"/>
    <w:basedOn w:val="Fuentedeprrafopredeter"/>
    <w:link w:val="Ttulo2"/>
    <w:uiPriority w:val="9"/>
    <w:rsid w:val="0048740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487409"/>
    <w:pPr>
      <w:spacing w:after="100"/>
      <w:ind w:left="220"/>
    </w:pPr>
  </w:style>
  <w:style w:type="character" w:styleId="Ttulo3Car" w:customStyle="1">
    <w:name w:val="Título 3 Car"/>
    <w:basedOn w:val="Fuentedeprrafopredeter"/>
    <w:link w:val="Ttulo3"/>
    <w:uiPriority w:val="9"/>
    <w:rsid w:val="0048740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87409"/>
    <w:pPr>
      <w:spacing w:after="100"/>
      <w:ind w:left="440"/>
    </w:pPr>
  </w:style>
  <w:style w:type="table" w:styleId="TableGrid" w:customStyle="1">
    <w:name w:val="TableGrid"/>
    <w:rsid w:val="00873AF2"/>
    <w:pPr>
      <w:spacing w:after="0" w:line="240" w:lineRule="auto"/>
    </w:pPr>
    <w:rPr>
      <w:rFonts w:eastAsiaTheme="minorEastAsia"/>
      <w:lang w:eastAsia="es-PE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4745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xelllamojha270204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k5lRLK0+1htqp/KpcMauHr3zSw==">CgMxLjA4AHIhMV9tbkFZSXVSSHdxUFE2M2lQQzVZby00VW1XVUxOUWls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2023-11-18T03:53:00Z</dcterms:created>
  <dc:creator>gema llamojha</dc:creator>
</cp:coreProperties>
</file>