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250395" w14:textId="77777777" w:rsidR="00D35076" w:rsidRDefault="00A41C3F" w:rsidP="00D35076">
      <w:pPr>
        <w:spacing w:before="100" w:beforeAutospacing="1" w:after="100" w:afterAutospacing="1" w:line="240" w:lineRule="auto"/>
        <w:rPr>
          <w:rFonts w:ascii="Arial" w:eastAsia="Times New Roman" w:hAnsi="Arial" w:cs="Arial"/>
          <w:b/>
          <w:bCs/>
          <w:lang w:eastAsia="es-PE"/>
        </w:rPr>
      </w:pPr>
      <w:r w:rsidRPr="00D35076">
        <w:rPr>
          <w:rFonts w:ascii="Arial" w:eastAsia="Times New Roman" w:hAnsi="Arial" w:cs="Arial"/>
          <w:b/>
          <w:bCs/>
          <w:lang w:eastAsia="es-PE"/>
        </w:rPr>
        <w:t>Título del trabajo:</w:t>
      </w:r>
      <w:r w:rsidR="00D35076" w:rsidRPr="00D35076">
        <w:rPr>
          <w:rFonts w:ascii="Arial" w:eastAsia="Times New Roman" w:hAnsi="Arial" w:cs="Arial"/>
          <w:b/>
          <w:bCs/>
          <w:lang w:eastAsia="es-PE"/>
        </w:rPr>
        <w:t xml:space="preserve"> </w:t>
      </w:r>
    </w:p>
    <w:p w14:paraId="35076AF5" w14:textId="77777777" w:rsidR="00A41C3F" w:rsidRPr="00A41C3F" w:rsidRDefault="00D35076" w:rsidP="00D35076">
      <w:pPr>
        <w:spacing w:before="100" w:beforeAutospacing="1" w:after="100" w:afterAutospacing="1" w:line="240" w:lineRule="auto"/>
        <w:rPr>
          <w:rFonts w:ascii="Arial" w:eastAsia="Times New Roman" w:hAnsi="Arial" w:cs="Arial"/>
          <w:lang w:eastAsia="es-PE"/>
        </w:rPr>
      </w:pPr>
      <w:r>
        <w:rPr>
          <w:rFonts w:ascii="Arial" w:eastAsia="Times New Roman" w:hAnsi="Arial" w:cs="Arial"/>
          <w:bCs/>
          <w:lang w:eastAsia="es-PE"/>
        </w:rPr>
        <w:t>“</w:t>
      </w:r>
      <w:r w:rsidR="00A41C3F" w:rsidRPr="00D35076">
        <w:rPr>
          <w:rFonts w:ascii="Arial" w:eastAsia="Times New Roman" w:hAnsi="Arial" w:cs="Arial"/>
          <w:bCs/>
          <w:lang w:eastAsia="es-PE"/>
        </w:rPr>
        <w:t xml:space="preserve">Innovación en el Cierre de Minas: Integrando </w:t>
      </w:r>
      <w:r w:rsidR="005C6D76">
        <w:rPr>
          <w:rFonts w:ascii="Arial" w:eastAsia="Times New Roman" w:hAnsi="Arial" w:cs="Arial"/>
          <w:bCs/>
          <w:lang w:eastAsia="es-PE"/>
        </w:rPr>
        <w:t>los Principios del ICMM en la Gestión de Riesgos bajo el</w:t>
      </w:r>
      <w:r w:rsidR="00A41C3F" w:rsidRPr="00D35076">
        <w:rPr>
          <w:rFonts w:ascii="Arial" w:eastAsia="Times New Roman" w:hAnsi="Arial" w:cs="Arial"/>
          <w:bCs/>
          <w:lang w:eastAsia="es-PE"/>
        </w:rPr>
        <w:t xml:space="preserve"> Contexto Peruano</w:t>
      </w:r>
      <w:r>
        <w:rPr>
          <w:rFonts w:ascii="Arial" w:eastAsia="Times New Roman" w:hAnsi="Arial" w:cs="Arial"/>
          <w:bCs/>
          <w:lang w:eastAsia="es-PE"/>
        </w:rPr>
        <w:t>”</w:t>
      </w:r>
    </w:p>
    <w:p w14:paraId="789F0E32" w14:textId="77777777" w:rsidR="00A41C3F" w:rsidRPr="00A41C3F" w:rsidRDefault="00A41C3F" w:rsidP="00A41C3F">
      <w:p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Categoría:</w:t>
      </w:r>
      <w:r w:rsidRPr="00A41C3F">
        <w:rPr>
          <w:rFonts w:ascii="Arial" w:eastAsia="Times New Roman" w:hAnsi="Arial" w:cs="Arial"/>
          <w:lang w:eastAsia="es-PE"/>
        </w:rPr>
        <w:t xml:space="preserve"> ESG</w:t>
      </w:r>
      <w:r w:rsidR="00D35076" w:rsidRPr="00D35076">
        <w:rPr>
          <w:rFonts w:ascii="Arial" w:hAnsi="Arial" w:cs="Arial"/>
        </w:rPr>
        <w:t xml:space="preserve"> </w:t>
      </w:r>
      <w:r w:rsidR="00D35076" w:rsidRPr="00D35076">
        <w:rPr>
          <w:rFonts w:ascii="Arial" w:eastAsia="Times New Roman" w:hAnsi="Arial" w:cs="Arial"/>
          <w:lang w:eastAsia="es-PE"/>
        </w:rPr>
        <w:t>(</w:t>
      </w:r>
      <w:proofErr w:type="spellStart"/>
      <w:r w:rsidR="00D35076" w:rsidRPr="00D35076">
        <w:rPr>
          <w:rFonts w:ascii="Arial" w:eastAsia="Times New Roman" w:hAnsi="Arial" w:cs="Arial"/>
          <w:lang w:eastAsia="es-PE"/>
        </w:rPr>
        <w:t>Environmental</w:t>
      </w:r>
      <w:proofErr w:type="spellEnd"/>
      <w:r w:rsidR="00D35076" w:rsidRPr="00D35076">
        <w:rPr>
          <w:rFonts w:ascii="Arial" w:eastAsia="Times New Roman" w:hAnsi="Arial" w:cs="Arial"/>
          <w:lang w:eastAsia="es-PE"/>
        </w:rPr>
        <w:t xml:space="preserve">, Social, </w:t>
      </w:r>
      <w:proofErr w:type="spellStart"/>
      <w:r w:rsidR="00D35076" w:rsidRPr="00D35076">
        <w:rPr>
          <w:rFonts w:ascii="Arial" w:eastAsia="Times New Roman" w:hAnsi="Arial" w:cs="Arial"/>
          <w:lang w:eastAsia="es-PE"/>
        </w:rPr>
        <w:t>Governance</w:t>
      </w:r>
      <w:proofErr w:type="spellEnd"/>
      <w:r w:rsidR="00D35076" w:rsidRPr="00D35076">
        <w:rPr>
          <w:rFonts w:ascii="Arial" w:eastAsia="Times New Roman" w:hAnsi="Arial" w:cs="Arial"/>
          <w:lang w:eastAsia="es-PE"/>
        </w:rPr>
        <w:t>)</w:t>
      </w:r>
    </w:p>
    <w:p w14:paraId="08F0822A" w14:textId="1DBDF533" w:rsidR="00A41C3F" w:rsidRPr="00A41C3F" w:rsidRDefault="00A41C3F" w:rsidP="00A41C3F">
      <w:p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Tema:</w:t>
      </w:r>
      <w:r w:rsidRPr="00A41C3F">
        <w:rPr>
          <w:rFonts w:ascii="Arial" w:eastAsia="Times New Roman" w:hAnsi="Arial" w:cs="Arial"/>
          <w:lang w:eastAsia="es-PE"/>
        </w:rPr>
        <w:t xml:space="preserve"> </w:t>
      </w:r>
      <w:r w:rsidR="00806C55">
        <w:rPr>
          <w:rFonts w:ascii="Arial" w:eastAsia="Times New Roman" w:hAnsi="Arial" w:cs="Arial"/>
          <w:lang w:eastAsia="es-PE"/>
        </w:rPr>
        <w:t>Pasivos ambientales y Cierre de M</w:t>
      </w:r>
      <w:bookmarkStart w:id="0" w:name="_GoBack"/>
      <w:bookmarkEnd w:id="0"/>
      <w:r w:rsidR="00806C55">
        <w:rPr>
          <w:rFonts w:ascii="Arial" w:eastAsia="Times New Roman" w:hAnsi="Arial" w:cs="Arial"/>
          <w:lang w:eastAsia="es-PE"/>
        </w:rPr>
        <w:t>inas</w:t>
      </w:r>
    </w:p>
    <w:p w14:paraId="0DBE2B40" w14:textId="77777777" w:rsidR="00A41C3F" w:rsidRPr="00A41C3F" w:rsidRDefault="00A41C3F" w:rsidP="00A41C3F">
      <w:p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Datos completos del autor:</w:t>
      </w:r>
    </w:p>
    <w:p w14:paraId="538DED3F"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Nombre:</w:t>
      </w:r>
      <w:r w:rsidRPr="00A41C3F">
        <w:rPr>
          <w:rFonts w:ascii="Arial" w:eastAsia="Times New Roman" w:hAnsi="Arial" w:cs="Arial"/>
          <w:lang w:eastAsia="es-PE"/>
        </w:rPr>
        <w:t xml:space="preserve"> Diego Ernesto Astuyauri Rosado</w:t>
      </w:r>
    </w:p>
    <w:p w14:paraId="06D3702B"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Empresa:</w:t>
      </w:r>
      <w:r w:rsidRPr="00A41C3F">
        <w:rPr>
          <w:rFonts w:ascii="Arial" w:eastAsia="Times New Roman" w:hAnsi="Arial" w:cs="Arial"/>
          <w:lang w:eastAsia="es-PE"/>
        </w:rPr>
        <w:t xml:space="preserve"> SRK </w:t>
      </w:r>
      <w:proofErr w:type="spellStart"/>
      <w:r w:rsidRPr="00A41C3F">
        <w:rPr>
          <w:rFonts w:ascii="Arial" w:eastAsia="Times New Roman" w:hAnsi="Arial" w:cs="Arial"/>
          <w:lang w:eastAsia="es-PE"/>
        </w:rPr>
        <w:t>Consulting</w:t>
      </w:r>
      <w:proofErr w:type="spellEnd"/>
    </w:p>
    <w:p w14:paraId="7882D2C5"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Cargo:</w:t>
      </w:r>
      <w:r w:rsidRPr="00A41C3F">
        <w:rPr>
          <w:rFonts w:ascii="Arial" w:eastAsia="Times New Roman" w:hAnsi="Arial" w:cs="Arial"/>
          <w:lang w:eastAsia="es-PE"/>
        </w:rPr>
        <w:t xml:space="preserve"> Consultor Staff</w:t>
      </w:r>
    </w:p>
    <w:p w14:paraId="4DDCD5C3"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Dirección:</w:t>
      </w:r>
      <w:r w:rsidRPr="00A41C3F">
        <w:rPr>
          <w:rFonts w:ascii="Arial" w:eastAsia="Times New Roman" w:hAnsi="Arial" w:cs="Arial"/>
          <w:lang w:eastAsia="es-PE"/>
        </w:rPr>
        <w:t xml:space="preserve"> Av. La Paz 1227, Miraflores Lima 18, Miraflores 15074</w:t>
      </w:r>
    </w:p>
    <w:p w14:paraId="2C017FF8"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Teléfono fijo:</w:t>
      </w:r>
      <w:r w:rsidRPr="00A41C3F">
        <w:rPr>
          <w:rFonts w:ascii="Arial" w:eastAsia="Times New Roman" w:hAnsi="Arial" w:cs="Arial"/>
          <w:lang w:eastAsia="es-PE"/>
        </w:rPr>
        <w:t xml:space="preserve"> (01) 2065900</w:t>
      </w:r>
    </w:p>
    <w:p w14:paraId="509716AC"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Celular:</w:t>
      </w:r>
      <w:r w:rsidRPr="00A41C3F">
        <w:rPr>
          <w:rFonts w:ascii="Arial" w:eastAsia="Times New Roman" w:hAnsi="Arial" w:cs="Arial"/>
          <w:lang w:eastAsia="es-PE"/>
        </w:rPr>
        <w:t xml:space="preserve"> </w:t>
      </w:r>
      <w:r w:rsidR="00D35076" w:rsidRPr="00D35076">
        <w:rPr>
          <w:rFonts w:ascii="Arial" w:eastAsia="Times New Roman" w:hAnsi="Arial" w:cs="Arial"/>
          <w:lang w:eastAsia="es-PE"/>
        </w:rPr>
        <w:t>989721625 / 992562900</w:t>
      </w:r>
    </w:p>
    <w:p w14:paraId="4F4DAC8F"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Correo corporativo:</w:t>
      </w:r>
      <w:r w:rsidRPr="00A41C3F">
        <w:rPr>
          <w:rFonts w:ascii="Arial" w:eastAsia="Times New Roman" w:hAnsi="Arial" w:cs="Arial"/>
          <w:lang w:eastAsia="es-PE"/>
        </w:rPr>
        <w:t xml:space="preserve"> dastuyauri@srk.com.pe</w:t>
      </w:r>
    </w:p>
    <w:p w14:paraId="71E1CF40" w14:textId="77777777" w:rsidR="00A41C3F" w:rsidRPr="00A41C3F" w:rsidRDefault="00A41C3F" w:rsidP="00A41C3F">
      <w:pPr>
        <w:numPr>
          <w:ilvl w:val="0"/>
          <w:numId w:val="3"/>
        </w:num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Correo personal:</w:t>
      </w:r>
      <w:r w:rsidRPr="00A41C3F">
        <w:rPr>
          <w:rFonts w:ascii="Arial" w:eastAsia="Times New Roman" w:hAnsi="Arial" w:cs="Arial"/>
          <w:lang w:eastAsia="es-PE"/>
        </w:rPr>
        <w:t xml:space="preserve"> astuyaurir.diego@pucp.edu.pe</w:t>
      </w:r>
    </w:p>
    <w:p w14:paraId="7ED8BA44" w14:textId="77777777" w:rsidR="00A41C3F" w:rsidRPr="00A41C3F" w:rsidRDefault="00A41C3F" w:rsidP="00A41C3F">
      <w:pPr>
        <w:spacing w:before="100" w:beforeAutospacing="1" w:after="100" w:afterAutospacing="1" w:line="240" w:lineRule="auto"/>
        <w:rPr>
          <w:rFonts w:ascii="Arial" w:eastAsia="Times New Roman" w:hAnsi="Arial" w:cs="Arial"/>
          <w:lang w:eastAsia="es-PE"/>
        </w:rPr>
      </w:pPr>
      <w:r w:rsidRPr="00D35076">
        <w:rPr>
          <w:rFonts w:ascii="Arial" w:eastAsia="Times New Roman" w:hAnsi="Arial" w:cs="Arial"/>
          <w:b/>
          <w:bCs/>
          <w:lang w:eastAsia="es-PE"/>
        </w:rPr>
        <w:t>Reseña de los participantes:</w:t>
      </w:r>
    </w:p>
    <w:p w14:paraId="5B6EB1D2" w14:textId="77777777" w:rsidR="00D35076" w:rsidRPr="00D35076" w:rsidRDefault="00A41C3F" w:rsidP="00D35076">
      <w:pPr>
        <w:spacing w:before="100" w:beforeAutospacing="1" w:after="100" w:afterAutospacing="1" w:line="240" w:lineRule="auto"/>
        <w:jc w:val="both"/>
        <w:rPr>
          <w:rFonts w:ascii="Arial" w:eastAsia="Times New Roman" w:hAnsi="Arial" w:cs="Arial"/>
          <w:b/>
          <w:bCs/>
          <w:lang w:eastAsia="es-PE"/>
        </w:rPr>
      </w:pPr>
      <w:r w:rsidRPr="00D35076">
        <w:rPr>
          <w:rFonts w:ascii="Arial" w:eastAsia="Times New Roman" w:hAnsi="Arial" w:cs="Arial"/>
          <w:b/>
          <w:bCs/>
          <w:lang w:eastAsia="es-PE"/>
        </w:rPr>
        <w:t>Autor – Diego Ernesto Astuyauri Rosado</w:t>
      </w:r>
    </w:p>
    <w:p w14:paraId="40A8AD84" w14:textId="77777777" w:rsidR="00D35076" w:rsidRPr="00D35076" w:rsidRDefault="00A41C3F" w:rsidP="00D35076">
      <w:pPr>
        <w:spacing w:before="100" w:beforeAutospacing="1" w:after="100" w:afterAutospacing="1" w:line="240" w:lineRule="auto"/>
        <w:jc w:val="both"/>
        <w:rPr>
          <w:rFonts w:ascii="Arial" w:eastAsia="Times New Roman" w:hAnsi="Arial" w:cs="Arial"/>
          <w:lang w:eastAsia="es-PE"/>
        </w:rPr>
      </w:pPr>
      <w:r w:rsidRPr="00A41C3F">
        <w:rPr>
          <w:rFonts w:ascii="Arial" w:eastAsia="Times New Roman" w:hAnsi="Arial" w:cs="Arial"/>
          <w:lang w:eastAsia="es-PE"/>
        </w:rPr>
        <w:t xml:space="preserve">Académico: Ingeniero de Minas por la Pontificia Universidad Católica del Perú (PUCP), candidato a Magíster en Regulación, Gestión y Economía Minera en la misma casa de estudios, con especialización en </w:t>
      </w:r>
      <w:proofErr w:type="spellStart"/>
      <w:r w:rsidRPr="00A41C3F">
        <w:rPr>
          <w:rFonts w:ascii="Arial" w:eastAsia="Times New Roman" w:hAnsi="Arial" w:cs="Arial"/>
          <w:lang w:eastAsia="es-PE"/>
        </w:rPr>
        <w:t>Permisología</w:t>
      </w:r>
      <w:proofErr w:type="spellEnd"/>
      <w:r w:rsidRPr="00A41C3F">
        <w:rPr>
          <w:rFonts w:ascii="Arial" w:eastAsia="Times New Roman" w:hAnsi="Arial" w:cs="Arial"/>
          <w:lang w:eastAsia="es-PE"/>
        </w:rPr>
        <w:t xml:space="preserve"> Minera, Gestión de Cierre de Minas y Evaluación de Costos en Proyectos Mineros. Ha complementado su formación con diversos diplomados en planificación minera, legislación ambiental y gestión de riesgos en proyectos extractivos.</w:t>
      </w:r>
    </w:p>
    <w:p w14:paraId="22156DD5" w14:textId="77777777" w:rsidR="00A41C3F" w:rsidRPr="00A41C3F" w:rsidRDefault="00A41C3F" w:rsidP="00D35076">
      <w:pPr>
        <w:spacing w:before="100" w:beforeAutospacing="1" w:after="100" w:afterAutospacing="1" w:line="240" w:lineRule="auto"/>
        <w:jc w:val="both"/>
        <w:rPr>
          <w:rFonts w:ascii="Arial" w:eastAsia="Times New Roman" w:hAnsi="Arial" w:cs="Arial"/>
          <w:lang w:eastAsia="es-PE"/>
        </w:rPr>
      </w:pPr>
      <w:r w:rsidRPr="00A41C3F">
        <w:rPr>
          <w:rFonts w:ascii="Arial" w:eastAsia="Times New Roman" w:hAnsi="Arial" w:cs="Arial"/>
          <w:lang w:eastAsia="es-PE"/>
        </w:rPr>
        <w:t xml:space="preserve">Profesional: Actualmente Consultor Staff en SRK </w:t>
      </w:r>
      <w:proofErr w:type="spellStart"/>
      <w:r w:rsidRPr="00A41C3F">
        <w:rPr>
          <w:rFonts w:ascii="Arial" w:eastAsia="Times New Roman" w:hAnsi="Arial" w:cs="Arial"/>
          <w:lang w:eastAsia="es-PE"/>
        </w:rPr>
        <w:t>Consulting</w:t>
      </w:r>
      <w:proofErr w:type="spellEnd"/>
      <w:r w:rsidRPr="00A41C3F">
        <w:rPr>
          <w:rFonts w:ascii="Arial" w:eastAsia="Times New Roman" w:hAnsi="Arial" w:cs="Arial"/>
          <w:lang w:eastAsia="es-PE"/>
        </w:rPr>
        <w:t>, desempeñándose en proyectos de permisos, costos y cierre de minas para importantes unidades mineras del Perú. Su trayectoria incluye la participación en actualizaciones de planes de cierre, estrategias de gestión de pasivos ambientales y optimización de cronogramas de actividades progresivas y finales, bajo estándares nacionales e internacionales.</w:t>
      </w:r>
    </w:p>
    <w:p w14:paraId="2B2345CB" w14:textId="77777777" w:rsidR="00D35076" w:rsidRPr="00D35076" w:rsidRDefault="00A41C3F" w:rsidP="00D35076">
      <w:pPr>
        <w:spacing w:before="100" w:beforeAutospacing="1" w:after="100" w:afterAutospacing="1" w:line="240" w:lineRule="auto"/>
        <w:jc w:val="both"/>
        <w:rPr>
          <w:rFonts w:ascii="Arial" w:eastAsia="Times New Roman" w:hAnsi="Arial" w:cs="Arial"/>
          <w:b/>
          <w:bCs/>
          <w:lang w:eastAsia="es-PE"/>
        </w:rPr>
      </w:pPr>
      <w:r w:rsidRPr="00D35076">
        <w:rPr>
          <w:rFonts w:ascii="Arial" w:eastAsia="Times New Roman" w:hAnsi="Arial" w:cs="Arial"/>
          <w:b/>
          <w:bCs/>
          <w:lang w:eastAsia="es-PE"/>
        </w:rPr>
        <w:t xml:space="preserve">Coautor – </w:t>
      </w:r>
      <w:r w:rsidR="00D35076">
        <w:rPr>
          <w:rFonts w:ascii="Arial" w:eastAsia="Times New Roman" w:hAnsi="Arial" w:cs="Arial"/>
          <w:b/>
          <w:bCs/>
          <w:lang w:eastAsia="es-PE"/>
        </w:rPr>
        <w:t xml:space="preserve">Ernesto </w:t>
      </w:r>
      <w:r w:rsidRPr="00D35076">
        <w:rPr>
          <w:rFonts w:ascii="Arial" w:eastAsia="Times New Roman" w:hAnsi="Arial" w:cs="Arial"/>
          <w:b/>
          <w:bCs/>
          <w:lang w:eastAsia="es-PE"/>
        </w:rPr>
        <w:t>Osvaldo Aduvire Pataca</w:t>
      </w:r>
    </w:p>
    <w:p w14:paraId="0339462E" w14:textId="77777777" w:rsidR="00D35076" w:rsidRPr="00D35076" w:rsidRDefault="00A41C3F" w:rsidP="00D35076">
      <w:pPr>
        <w:spacing w:before="100" w:beforeAutospacing="1" w:after="100" w:afterAutospacing="1" w:line="240" w:lineRule="auto"/>
        <w:jc w:val="both"/>
        <w:rPr>
          <w:rFonts w:ascii="Arial" w:eastAsia="Times New Roman" w:hAnsi="Arial" w:cs="Arial"/>
          <w:lang w:eastAsia="es-PE"/>
        </w:rPr>
      </w:pPr>
      <w:r w:rsidRPr="00A41C3F">
        <w:rPr>
          <w:rFonts w:ascii="Arial" w:eastAsia="Times New Roman" w:hAnsi="Arial" w:cs="Arial"/>
          <w:lang w:eastAsia="es-PE"/>
        </w:rPr>
        <w:t>Académico: Doctor Ingeniero de Minas por la Universidad Politécnica de Madrid (España), con estudios de Maestría en Mecánica de Suelos e Ingeniería de Cimentaciones en el CEDEX (España), y múltiples especializaciones en Hidrología Aplicada, Geología de Yacimientos Minerales y Ciencias de la Tierra en prestigiosas universidades europeas. Cuenta también con diplomados en Auditorías de Sistemas de Gestión Ambiental, Metodología de Investigación Cuantitativa y Administración de Empresas.</w:t>
      </w:r>
    </w:p>
    <w:p w14:paraId="4746067C" w14:textId="77777777" w:rsidR="00A41C3F" w:rsidRPr="00D35076" w:rsidRDefault="00A41C3F" w:rsidP="00D35076">
      <w:pPr>
        <w:spacing w:before="100" w:beforeAutospacing="1" w:after="100" w:afterAutospacing="1" w:line="240" w:lineRule="auto"/>
        <w:jc w:val="both"/>
        <w:rPr>
          <w:rFonts w:ascii="Arial" w:eastAsia="Times New Roman" w:hAnsi="Arial" w:cs="Arial"/>
          <w:lang w:eastAsia="es-PE"/>
        </w:rPr>
      </w:pPr>
      <w:r w:rsidRPr="00A41C3F">
        <w:rPr>
          <w:rFonts w:ascii="Arial" w:eastAsia="Times New Roman" w:hAnsi="Arial" w:cs="Arial"/>
          <w:lang w:eastAsia="es-PE"/>
        </w:rPr>
        <w:t xml:space="preserve">Profesional: </w:t>
      </w:r>
      <w:r w:rsidR="00D35076" w:rsidRPr="00D35076">
        <w:rPr>
          <w:rFonts w:ascii="Arial" w:eastAsia="Times New Roman" w:hAnsi="Arial" w:cs="Arial"/>
          <w:lang w:eastAsia="es-PE"/>
        </w:rPr>
        <w:t xml:space="preserve">Actualmente </w:t>
      </w:r>
      <w:proofErr w:type="spellStart"/>
      <w:r w:rsidR="00D35076" w:rsidRPr="00D35076">
        <w:rPr>
          <w:rFonts w:ascii="Arial" w:eastAsia="Times New Roman" w:hAnsi="Arial" w:cs="Arial"/>
          <w:lang w:eastAsia="es-PE"/>
        </w:rPr>
        <w:t>Practice</w:t>
      </w:r>
      <w:proofErr w:type="spellEnd"/>
      <w:r w:rsidR="00D35076" w:rsidRPr="00D35076">
        <w:rPr>
          <w:rFonts w:ascii="Arial" w:eastAsia="Times New Roman" w:hAnsi="Arial" w:cs="Arial"/>
          <w:lang w:eastAsia="es-PE"/>
        </w:rPr>
        <w:t xml:space="preserve"> Leader del área de </w:t>
      </w:r>
      <w:proofErr w:type="spellStart"/>
      <w:r w:rsidR="00D35076" w:rsidRPr="00D35076">
        <w:rPr>
          <w:rFonts w:ascii="Arial" w:eastAsia="Times New Roman" w:hAnsi="Arial" w:cs="Arial"/>
          <w:lang w:eastAsia="es-PE"/>
        </w:rPr>
        <w:t>Geoambiente</w:t>
      </w:r>
      <w:proofErr w:type="spellEnd"/>
      <w:r w:rsidR="00D35076" w:rsidRPr="00D35076">
        <w:rPr>
          <w:rFonts w:ascii="Arial" w:eastAsia="Times New Roman" w:hAnsi="Arial" w:cs="Arial"/>
          <w:lang w:eastAsia="es-PE"/>
        </w:rPr>
        <w:t xml:space="preserve"> en SRK </w:t>
      </w:r>
      <w:proofErr w:type="spellStart"/>
      <w:r w:rsidR="00D35076" w:rsidRPr="00D35076">
        <w:rPr>
          <w:rFonts w:ascii="Arial" w:eastAsia="Times New Roman" w:hAnsi="Arial" w:cs="Arial"/>
          <w:lang w:eastAsia="es-PE"/>
        </w:rPr>
        <w:t>Consulting</w:t>
      </w:r>
      <w:proofErr w:type="spellEnd"/>
      <w:r w:rsidR="00D35076" w:rsidRPr="00D35076">
        <w:rPr>
          <w:rFonts w:ascii="Arial" w:eastAsia="Times New Roman" w:hAnsi="Arial" w:cs="Arial"/>
          <w:lang w:eastAsia="es-PE"/>
        </w:rPr>
        <w:t xml:space="preserve">. </w:t>
      </w:r>
      <w:r w:rsidRPr="00A41C3F">
        <w:rPr>
          <w:rFonts w:ascii="Arial" w:eastAsia="Times New Roman" w:hAnsi="Arial" w:cs="Arial"/>
          <w:lang w:eastAsia="es-PE"/>
        </w:rPr>
        <w:t>Con más de 33 años de experiencia en minería y medio ambiente, ha liderado proyectos de cierre de minas, geoquímica ambiental, restauración de terrenos mineros y tratamiento de aguas ácidas en Latinoamérica y Europa. Ha sido presidente y miembro de comités técnicos en conferencias internacionales sobre cierre de minas, agua en minería y sostenibilidad ambiental, y ha impartido docencia de posgrado en diversas universidades de América y Europa.</w:t>
      </w:r>
    </w:p>
    <w:p w14:paraId="6473B098" w14:textId="77777777" w:rsidR="00D35076" w:rsidRPr="00A41C3F" w:rsidRDefault="00D35076" w:rsidP="00D35076">
      <w:pPr>
        <w:spacing w:before="100" w:beforeAutospacing="1" w:after="100" w:afterAutospacing="1" w:line="240" w:lineRule="auto"/>
        <w:jc w:val="both"/>
        <w:rPr>
          <w:rFonts w:ascii="Arial" w:eastAsia="Times New Roman" w:hAnsi="Arial" w:cs="Arial"/>
          <w:lang w:eastAsia="es-PE"/>
        </w:rPr>
      </w:pPr>
      <w:r w:rsidRPr="00D35076">
        <w:rPr>
          <w:rFonts w:ascii="Arial" w:eastAsia="Times New Roman" w:hAnsi="Arial" w:cs="Arial"/>
          <w:lang w:eastAsia="es-PE"/>
        </w:rPr>
        <w:lastRenderedPageBreak/>
        <w:t>Palabras Clave: Cierre de minas, Gestión de riesgos, ICMM, Sostenibilidad minera, Pasivos ambientales, Normativa peruana.</w:t>
      </w:r>
    </w:p>
    <w:p w14:paraId="454A9721" w14:textId="77777777" w:rsidR="00D35076" w:rsidRPr="00D35076" w:rsidRDefault="00D35076" w:rsidP="00D35076">
      <w:pPr>
        <w:rPr>
          <w:rFonts w:ascii="Arial" w:hAnsi="Arial" w:cs="Arial"/>
          <w:b/>
          <w:lang w:eastAsia="es-PE"/>
        </w:rPr>
      </w:pPr>
      <w:r w:rsidRPr="00D35076">
        <w:rPr>
          <w:rFonts w:ascii="Arial" w:hAnsi="Arial" w:cs="Arial"/>
          <w:b/>
          <w:lang w:eastAsia="es-PE"/>
        </w:rPr>
        <w:t xml:space="preserve">RESUMEN </w:t>
      </w:r>
    </w:p>
    <w:p w14:paraId="599493A5" w14:textId="77777777" w:rsidR="00BD3CCF" w:rsidRPr="00BD3CCF" w:rsidRDefault="00BD3CCF" w:rsidP="00BD3CCF">
      <w:pPr>
        <w:spacing w:before="100" w:beforeAutospacing="1" w:after="100" w:afterAutospacing="1" w:line="240" w:lineRule="auto"/>
        <w:outlineLvl w:val="1"/>
        <w:rPr>
          <w:rFonts w:ascii="Arial" w:eastAsia="Times New Roman" w:hAnsi="Arial" w:cs="Arial"/>
          <w:b/>
          <w:bCs/>
          <w:lang w:eastAsia="es-PE"/>
        </w:rPr>
      </w:pPr>
      <w:r w:rsidRPr="00BD3CCF">
        <w:rPr>
          <w:rFonts w:ascii="Arial" w:eastAsia="Times New Roman" w:hAnsi="Arial" w:cs="Arial"/>
          <w:b/>
          <w:bCs/>
          <w:lang w:eastAsia="es-PE"/>
        </w:rPr>
        <w:t>1. Contexto y escenario del trabajo</w:t>
      </w:r>
    </w:p>
    <w:p w14:paraId="33F105CC" w14:textId="7C76795E" w:rsidR="00D35076"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 xml:space="preserve">La minería es uno de los pilares económicos del Perú, con una contribución significativa al Producto Bruto Interno (PBI) y al empleo, especialmente en zonas altoandinas. Sin embargo, el crecimiento de esta actividad también ha dejado una herencia ambiental considerable, manifestada en los pasivos ambientales mineros. Para </w:t>
      </w:r>
      <w:r w:rsidRPr="00EA5A4F">
        <w:rPr>
          <w:rFonts w:ascii="Arial" w:eastAsia="Times New Roman" w:hAnsi="Arial" w:cs="Arial"/>
          <w:lang w:eastAsia="es-PE"/>
        </w:rPr>
        <w:t>enfrentar este desafío, en 2003 se promulgó la Ley 28090,</w:t>
      </w:r>
      <w:r w:rsidRPr="00BD3CCF">
        <w:rPr>
          <w:rFonts w:ascii="Arial" w:eastAsia="Times New Roman" w:hAnsi="Arial" w:cs="Arial"/>
          <w:lang w:eastAsia="es-PE"/>
        </w:rPr>
        <w:t xml:space="preserve"> Ley que regula el Cierre de Minas en el país, estableciendo la obligación de planificar el cierre desde la etapa de explotación minera.</w:t>
      </w:r>
    </w:p>
    <w:p w14:paraId="40782951" w14:textId="77777777" w:rsidR="00A41C3F"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A pesar de sus avances, la normativa peruana muestra un enfoque predominantemente normativo, orientado al cumplimiento formal, más que a una gestión estratégica y sostenible de los riesgos financieros asociados al cierre de minas.</w:t>
      </w:r>
    </w:p>
    <w:p w14:paraId="5CD5E9D5" w14:textId="15D10BE5" w:rsidR="00BD3CCF" w:rsidRPr="00BD3CCF"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 xml:space="preserve">Paralelamente, el International Council </w:t>
      </w:r>
      <w:proofErr w:type="spellStart"/>
      <w:r w:rsidRPr="00BD3CCF">
        <w:rPr>
          <w:rFonts w:ascii="Arial" w:eastAsia="Times New Roman" w:hAnsi="Arial" w:cs="Arial"/>
          <w:lang w:eastAsia="es-PE"/>
        </w:rPr>
        <w:t>on</w:t>
      </w:r>
      <w:proofErr w:type="spellEnd"/>
      <w:r w:rsidRPr="00BD3CCF">
        <w:rPr>
          <w:rFonts w:ascii="Arial" w:eastAsia="Times New Roman" w:hAnsi="Arial" w:cs="Arial"/>
          <w:lang w:eastAsia="es-PE"/>
        </w:rPr>
        <w:t xml:space="preserve"> </w:t>
      </w:r>
      <w:proofErr w:type="spellStart"/>
      <w:r w:rsidRPr="00BD3CCF">
        <w:rPr>
          <w:rFonts w:ascii="Arial" w:eastAsia="Times New Roman" w:hAnsi="Arial" w:cs="Arial"/>
          <w:lang w:eastAsia="es-PE"/>
        </w:rPr>
        <w:t>Mining</w:t>
      </w:r>
      <w:proofErr w:type="spellEnd"/>
      <w:r w:rsidRPr="00BD3CCF">
        <w:rPr>
          <w:rFonts w:ascii="Arial" w:eastAsia="Times New Roman" w:hAnsi="Arial" w:cs="Arial"/>
          <w:lang w:eastAsia="es-PE"/>
        </w:rPr>
        <w:t xml:space="preserve"> and </w:t>
      </w:r>
      <w:proofErr w:type="spellStart"/>
      <w:r w:rsidRPr="00BD3CCF">
        <w:rPr>
          <w:rFonts w:ascii="Arial" w:eastAsia="Times New Roman" w:hAnsi="Arial" w:cs="Arial"/>
          <w:lang w:eastAsia="es-PE"/>
        </w:rPr>
        <w:t>Metals</w:t>
      </w:r>
      <w:proofErr w:type="spellEnd"/>
      <w:r w:rsidRPr="00BD3CCF">
        <w:rPr>
          <w:rFonts w:ascii="Arial" w:eastAsia="Times New Roman" w:hAnsi="Arial" w:cs="Arial"/>
          <w:lang w:eastAsia="es-PE"/>
        </w:rPr>
        <w:t xml:space="preserve"> (ICMM) ha desarrollado principios que promueven una minería responsable y una planificación de cierres más integrales, abordando los aspectos financieros, sociales y ambientales de forma integrada. Actualmente, en el Perú, existe una brecha entre las mejores prácticas internacionales y la normativa vigente en cuanto al cierre de minas. Esta investigación se desarrolla en este contexto, buscando cerrar dicha brecha y fortalecer la gestión financiera del cierre de minas en el</w:t>
      </w:r>
      <w:r w:rsidRPr="00FF5480">
        <w:rPr>
          <w:rFonts w:ascii="Arial" w:eastAsia="Times New Roman" w:hAnsi="Arial" w:cs="Arial"/>
          <w:lang w:eastAsia="es-PE"/>
        </w:rPr>
        <w:t xml:space="preserve"> </w:t>
      </w:r>
      <w:r w:rsidR="00FF5480">
        <w:rPr>
          <w:rFonts w:ascii="Arial" w:eastAsia="Times New Roman" w:hAnsi="Arial" w:cs="Arial"/>
          <w:lang w:eastAsia="es-PE"/>
        </w:rPr>
        <w:t>p</w:t>
      </w:r>
      <w:r w:rsidRPr="00FF5480">
        <w:rPr>
          <w:rFonts w:ascii="Arial" w:eastAsia="Times New Roman" w:hAnsi="Arial" w:cs="Arial"/>
          <w:lang w:eastAsia="es-PE"/>
        </w:rPr>
        <w:t>aís</w:t>
      </w:r>
      <w:r w:rsidRPr="00BD3CCF">
        <w:rPr>
          <w:rFonts w:ascii="Arial" w:eastAsia="Times New Roman" w:hAnsi="Arial" w:cs="Arial"/>
          <w:lang w:eastAsia="es-PE"/>
        </w:rPr>
        <w:t>.</w:t>
      </w:r>
    </w:p>
    <w:p w14:paraId="15786F51" w14:textId="77777777" w:rsidR="00BD3CCF" w:rsidRPr="00BD3CCF" w:rsidRDefault="00BD3CCF" w:rsidP="008F1455">
      <w:pPr>
        <w:spacing w:before="100" w:beforeAutospacing="1" w:after="100" w:afterAutospacing="1" w:line="240" w:lineRule="auto"/>
        <w:outlineLvl w:val="1"/>
        <w:rPr>
          <w:rFonts w:ascii="Arial" w:eastAsia="Times New Roman" w:hAnsi="Arial" w:cs="Arial"/>
          <w:b/>
          <w:bCs/>
          <w:lang w:eastAsia="es-PE"/>
        </w:rPr>
      </w:pPr>
      <w:r w:rsidRPr="00BD3CCF">
        <w:rPr>
          <w:rFonts w:ascii="Arial" w:eastAsia="Times New Roman" w:hAnsi="Arial" w:cs="Arial"/>
          <w:b/>
          <w:bCs/>
          <w:lang w:eastAsia="es-PE"/>
        </w:rPr>
        <w:t>2. Objetivo del trabajo</w:t>
      </w:r>
    </w:p>
    <w:p w14:paraId="48532F39" w14:textId="696997DD" w:rsidR="00A41C3F"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El objetivo principal de este trabajo es analizar cómo la incorporación de los principios del ICMM en los proyectos de cierre de minas en Perú puede mejorar la gestión de riesgos financieros, asegurar una mayor disponibilidad de fondos y optimizar la planificación de los cierres mineros, todo ello en el marco de cumplimiento de la Ley 28090</w:t>
      </w:r>
      <w:r w:rsidR="00927EA9" w:rsidRPr="00FF5480">
        <w:rPr>
          <w:rFonts w:ascii="Arial" w:eastAsia="Times New Roman" w:hAnsi="Arial" w:cs="Arial"/>
          <w:lang w:eastAsia="es-PE"/>
        </w:rPr>
        <w:t>, su reglamento y posteriores modificatorias</w:t>
      </w:r>
      <w:r w:rsidRPr="00FF5480">
        <w:rPr>
          <w:rFonts w:ascii="Arial" w:eastAsia="Times New Roman" w:hAnsi="Arial" w:cs="Arial"/>
          <w:lang w:eastAsia="es-PE"/>
        </w:rPr>
        <w:t>.</w:t>
      </w:r>
    </w:p>
    <w:p w14:paraId="3A476B69" w14:textId="77777777" w:rsidR="00BD3CCF" w:rsidRPr="00BD3CCF"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Asimismo, se busca evaluar el impacto de la adopción de estándares internacionales sobre la eficiencia de los procesos de cierre, la prevención de contingencias financieras y la sostenibilidad a largo plazo de los proyectos mineros. Finalmente, se pretende identificar recomendaciones para una actualización normativa que permita armonizar los requerimientos legales peruanos con las mejores prácticas globales.</w:t>
      </w:r>
    </w:p>
    <w:p w14:paraId="60F05C7B" w14:textId="77777777" w:rsidR="00BD3CCF" w:rsidRPr="00BD3CCF" w:rsidRDefault="00BD3CCF" w:rsidP="008F1455">
      <w:pPr>
        <w:spacing w:before="100" w:beforeAutospacing="1" w:after="100" w:afterAutospacing="1" w:line="240" w:lineRule="auto"/>
        <w:outlineLvl w:val="1"/>
        <w:rPr>
          <w:rFonts w:ascii="Arial" w:eastAsia="Times New Roman" w:hAnsi="Arial" w:cs="Arial"/>
          <w:b/>
          <w:bCs/>
          <w:lang w:eastAsia="es-PE"/>
        </w:rPr>
      </w:pPr>
      <w:r w:rsidRPr="00BD3CCF">
        <w:rPr>
          <w:rFonts w:ascii="Arial" w:eastAsia="Times New Roman" w:hAnsi="Arial" w:cs="Arial"/>
          <w:b/>
          <w:bCs/>
          <w:lang w:eastAsia="es-PE"/>
        </w:rPr>
        <w:t>3. Procedimiento o metodología empleada</w:t>
      </w:r>
    </w:p>
    <w:p w14:paraId="0018C383" w14:textId="77777777" w:rsidR="00A41C3F"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La metodología utilizada en este trabajo es de tipo mixta, combinando técnicas cualitativas y cuantitativas.</w:t>
      </w:r>
    </w:p>
    <w:p w14:paraId="5111307C" w14:textId="77777777" w:rsidR="00A41C3F"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Se realizó inicialmente un análisis documental, revisando normativas nacionales (Ley 28090, su reglamento y guías complementarias) y estándares internacionales (principios del ICMM, guías de cierre de minas de otros países como Canadá, Chile y Australia).</w:t>
      </w:r>
    </w:p>
    <w:p w14:paraId="1B7DF239" w14:textId="4E0D018D" w:rsidR="00BD3CCF" w:rsidRPr="00BD3CCF"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Posteriormente, se aplicó un método comparado para identificar diferencias, vacíos y oportunidades de mejora entre la normativa peruana y los principios propuestos por el ICMM.</w:t>
      </w:r>
      <w:r w:rsidRPr="00BD3CCF">
        <w:rPr>
          <w:rFonts w:ascii="Arial" w:eastAsia="Times New Roman" w:hAnsi="Arial" w:cs="Arial"/>
          <w:lang w:eastAsia="es-PE"/>
        </w:rPr>
        <w:br/>
        <w:t xml:space="preserve">Finalmente, se empleó el análisis de casos, estudiando cierres de minas relevantes en el Perú </w:t>
      </w:r>
      <w:r w:rsidR="00A41C3F" w:rsidRPr="00D35076">
        <w:rPr>
          <w:rFonts w:ascii="Arial" w:eastAsia="Times New Roman" w:hAnsi="Arial" w:cs="Arial"/>
          <w:lang w:eastAsia="es-PE"/>
        </w:rPr>
        <w:t xml:space="preserve">vigentes y/o aprobados de proyectos mineros subterráneos </w:t>
      </w:r>
      <w:r w:rsidRPr="00BD3CCF">
        <w:rPr>
          <w:rFonts w:ascii="Arial" w:eastAsia="Times New Roman" w:hAnsi="Arial" w:cs="Arial"/>
          <w:lang w:eastAsia="es-PE"/>
        </w:rPr>
        <w:t>y ejemplos internacionales, para evidenciar las consecuencias de una gestión financiera adecuada o deficiente.</w:t>
      </w:r>
    </w:p>
    <w:p w14:paraId="49C22868" w14:textId="77777777" w:rsidR="00BD3CCF" w:rsidRPr="00BD3CCF" w:rsidRDefault="00BD3CCF" w:rsidP="008F1455">
      <w:pPr>
        <w:spacing w:before="100" w:beforeAutospacing="1" w:after="100" w:afterAutospacing="1" w:line="240" w:lineRule="auto"/>
        <w:outlineLvl w:val="1"/>
        <w:rPr>
          <w:rFonts w:ascii="Arial" w:eastAsia="Times New Roman" w:hAnsi="Arial" w:cs="Arial"/>
          <w:b/>
          <w:bCs/>
          <w:lang w:eastAsia="es-PE"/>
        </w:rPr>
      </w:pPr>
      <w:r w:rsidRPr="00BD3CCF">
        <w:rPr>
          <w:rFonts w:ascii="Arial" w:eastAsia="Times New Roman" w:hAnsi="Arial" w:cs="Arial"/>
          <w:b/>
          <w:bCs/>
          <w:lang w:eastAsia="es-PE"/>
        </w:rPr>
        <w:lastRenderedPageBreak/>
        <w:t>4. Resultados alcanzados</w:t>
      </w:r>
    </w:p>
    <w:p w14:paraId="3895045C" w14:textId="77777777" w:rsidR="00BD3CCF" w:rsidRPr="00BD3CCF"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El análisis evidenció que la integración de los principios del ICMM en la gestión de cierre de minas mejora notablemente varios aspectos críticos:</w:t>
      </w:r>
    </w:p>
    <w:p w14:paraId="47D50A73" w14:textId="77777777" w:rsidR="00BD3CCF" w:rsidRPr="00BD3CCF" w:rsidRDefault="00BD3CCF" w:rsidP="00BD3CCF">
      <w:pPr>
        <w:numPr>
          <w:ilvl w:val="0"/>
          <w:numId w:val="1"/>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Aumenta la disponibilidad y previsión de fondos para el cierre, asegurando la ejecución oportuna de las actividades de clausura.</w:t>
      </w:r>
    </w:p>
    <w:p w14:paraId="52FEAD20" w14:textId="77777777" w:rsidR="00BD3CCF" w:rsidRPr="00BD3CCF" w:rsidRDefault="00BD3CCF" w:rsidP="00BD3CCF">
      <w:pPr>
        <w:numPr>
          <w:ilvl w:val="0"/>
          <w:numId w:val="1"/>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Reduce la incertidumbre financiera asociada a los costos de cierre, evitando impactos imprevistos en la economía del proyecto y en el Estado.</w:t>
      </w:r>
    </w:p>
    <w:p w14:paraId="0F448C2E" w14:textId="77777777" w:rsidR="00BD3CCF" w:rsidRPr="00BD3CCF" w:rsidRDefault="00BD3CCF" w:rsidP="00BD3CCF">
      <w:pPr>
        <w:numPr>
          <w:ilvl w:val="0"/>
          <w:numId w:val="1"/>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Refuerza los mecanismos de rendición de cuentas y transparencia en el uso de garantías financieras.</w:t>
      </w:r>
    </w:p>
    <w:p w14:paraId="53C2753C" w14:textId="77777777" w:rsidR="008F1455" w:rsidRPr="00D35076" w:rsidRDefault="00BD3CCF" w:rsidP="00BD3CCF">
      <w:pPr>
        <w:numPr>
          <w:ilvl w:val="0"/>
          <w:numId w:val="1"/>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Promueve una visión de sostenibilidad en el cierre de minas, considerando desde etapas tempranas los impactos socioambientales a largo plazo.</w:t>
      </w:r>
    </w:p>
    <w:p w14:paraId="6618654C" w14:textId="198F11C4" w:rsidR="00BD3CCF" w:rsidRPr="00BD3CCF" w:rsidRDefault="00BD3CCF" w:rsidP="008F1455">
      <w:pPr>
        <w:spacing w:before="100" w:beforeAutospacing="1" w:after="100" w:afterAutospacing="1" w:line="240" w:lineRule="auto"/>
        <w:ind w:left="360"/>
        <w:jc w:val="both"/>
        <w:rPr>
          <w:rFonts w:ascii="Arial" w:eastAsia="Times New Roman" w:hAnsi="Arial" w:cs="Arial"/>
          <w:lang w:eastAsia="es-PE"/>
        </w:rPr>
      </w:pPr>
      <w:r w:rsidRPr="00BD3CCF">
        <w:rPr>
          <w:rFonts w:ascii="Arial" w:eastAsia="Times New Roman" w:hAnsi="Arial" w:cs="Arial"/>
          <w:lang w:eastAsia="es-PE"/>
        </w:rPr>
        <w:t xml:space="preserve">Además, se identificó que el actual enfoque de la </w:t>
      </w:r>
      <w:r w:rsidRPr="00EA5A4F">
        <w:rPr>
          <w:rFonts w:ascii="Arial" w:eastAsia="Times New Roman" w:hAnsi="Arial" w:cs="Arial"/>
          <w:lang w:eastAsia="es-PE"/>
        </w:rPr>
        <w:t>Ley 28090</w:t>
      </w:r>
      <w:r w:rsidRPr="00BD3CCF">
        <w:rPr>
          <w:rFonts w:ascii="Arial" w:eastAsia="Times New Roman" w:hAnsi="Arial" w:cs="Arial"/>
          <w:lang w:eastAsia="es-PE"/>
        </w:rPr>
        <w:t xml:space="preserve"> tiende a promover la elaboración de planes de cierre más enfocados</w:t>
      </w:r>
      <w:r w:rsidR="008F1455" w:rsidRPr="00D35076">
        <w:rPr>
          <w:rFonts w:ascii="Arial" w:eastAsia="Times New Roman" w:hAnsi="Arial" w:cs="Arial"/>
          <w:lang w:eastAsia="es-PE"/>
        </w:rPr>
        <w:t xml:space="preserve"> en </w:t>
      </w:r>
      <w:r w:rsidR="008F1455" w:rsidRPr="00FF5480">
        <w:rPr>
          <w:rFonts w:ascii="Arial" w:eastAsia="Times New Roman" w:hAnsi="Arial" w:cs="Arial"/>
          <w:lang w:eastAsia="es-PE"/>
        </w:rPr>
        <w:t>cumplir requisitos formales</w:t>
      </w:r>
      <w:r w:rsidRPr="00FF5480">
        <w:rPr>
          <w:rFonts w:ascii="Arial" w:eastAsia="Times New Roman" w:hAnsi="Arial" w:cs="Arial"/>
          <w:lang w:eastAsia="es-PE"/>
        </w:rPr>
        <w:t xml:space="preserve"> </w:t>
      </w:r>
      <w:r w:rsidR="008F1455" w:rsidRPr="00FF5480">
        <w:rPr>
          <w:rFonts w:ascii="Arial" w:eastAsia="Times New Roman" w:hAnsi="Arial" w:cs="Arial"/>
          <w:lang w:eastAsia="es-PE"/>
        </w:rPr>
        <w:t>que</w:t>
      </w:r>
      <w:r w:rsidRPr="00FF5480">
        <w:rPr>
          <w:rFonts w:ascii="Arial" w:eastAsia="Times New Roman" w:hAnsi="Arial" w:cs="Arial"/>
          <w:lang w:eastAsia="es-PE"/>
        </w:rPr>
        <w:t xml:space="preserve"> en gestionar efectivamente los riesgos, lo que representa un área crítica </w:t>
      </w:r>
      <w:r w:rsidR="00524799" w:rsidRPr="00FF5480">
        <w:rPr>
          <w:rFonts w:ascii="Arial" w:eastAsia="Times New Roman" w:hAnsi="Arial" w:cs="Arial"/>
          <w:lang w:eastAsia="es-PE"/>
        </w:rPr>
        <w:t xml:space="preserve">que requiere </w:t>
      </w:r>
      <w:r w:rsidRPr="00FF5480">
        <w:rPr>
          <w:rFonts w:ascii="Arial" w:eastAsia="Times New Roman" w:hAnsi="Arial" w:cs="Arial"/>
          <w:lang w:eastAsia="es-PE"/>
        </w:rPr>
        <w:t>mejora.</w:t>
      </w:r>
    </w:p>
    <w:p w14:paraId="50F30108" w14:textId="77777777" w:rsidR="00BD3CCF" w:rsidRPr="00BD3CCF" w:rsidRDefault="00BD3CCF" w:rsidP="008F1455">
      <w:pPr>
        <w:spacing w:before="100" w:beforeAutospacing="1" w:after="100" w:afterAutospacing="1" w:line="240" w:lineRule="auto"/>
        <w:outlineLvl w:val="1"/>
        <w:rPr>
          <w:rFonts w:ascii="Arial" w:eastAsia="Times New Roman" w:hAnsi="Arial" w:cs="Arial"/>
          <w:b/>
          <w:bCs/>
          <w:lang w:eastAsia="es-PE"/>
        </w:rPr>
      </w:pPr>
      <w:r w:rsidRPr="00BD3CCF">
        <w:rPr>
          <w:rFonts w:ascii="Arial" w:eastAsia="Times New Roman" w:hAnsi="Arial" w:cs="Arial"/>
          <w:b/>
          <w:bCs/>
          <w:lang w:eastAsia="es-PE"/>
        </w:rPr>
        <w:t>5. Conclusiones y recomendaciones</w:t>
      </w:r>
    </w:p>
    <w:p w14:paraId="157B6361" w14:textId="77777777" w:rsidR="00A41C3F" w:rsidRPr="00D35076" w:rsidRDefault="00BD3CCF" w:rsidP="00BD3CCF">
      <w:p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La investigación concluye que la gestión de riesgos financieros en los proyectos de cierre de minas en Perú puede fortalecerse significativamente mediante la adopción de principios internacionales como los propuestos por el ICMM.</w:t>
      </w:r>
    </w:p>
    <w:p w14:paraId="39A0410D" w14:textId="77777777" w:rsidR="00BD3CCF" w:rsidRPr="00BD3CCF" w:rsidRDefault="00A41C3F" w:rsidP="00BD3CCF">
      <w:pPr>
        <w:spacing w:before="100" w:beforeAutospacing="1" w:after="100" w:afterAutospacing="1" w:line="240" w:lineRule="auto"/>
        <w:jc w:val="both"/>
        <w:rPr>
          <w:rFonts w:ascii="Arial" w:eastAsia="Times New Roman" w:hAnsi="Arial" w:cs="Arial"/>
          <w:lang w:eastAsia="es-PE"/>
        </w:rPr>
      </w:pPr>
      <w:r w:rsidRPr="00D35076">
        <w:rPr>
          <w:rFonts w:ascii="Arial" w:eastAsia="Times New Roman" w:hAnsi="Arial" w:cs="Arial"/>
          <w:lang w:eastAsia="es-PE"/>
        </w:rPr>
        <w:t xml:space="preserve"> </w:t>
      </w:r>
      <w:r w:rsidR="00BD3CCF" w:rsidRPr="00BD3CCF">
        <w:rPr>
          <w:rFonts w:ascii="Arial" w:eastAsia="Times New Roman" w:hAnsi="Arial" w:cs="Arial"/>
          <w:lang w:eastAsia="es-PE"/>
        </w:rPr>
        <w:t>Se recomienda:</w:t>
      </w:r>
    </w:p>
    <w:p w14:paraId="53EC6E22" w14:textId="77777777" w:rsidR="00BD3CCF" w:rsidRPr="00BD3CCF" w:rsidRDefault="00BD3CCF" w:rsidP="00BD3CCF">
      <w:pPr>
        <w:numPr>
          <w:ilvl w:val="0"/>
          <w:numId w:val="2"/>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 xml:space="preserve">Actualizar la </w:t>
      </w:r>
      <w:r w:rsidRPr="00EA5A4F">
        <w:rPr>
          <w:rFonts w:ascii="Arial" w:eastAsia="Times New Roman" w:hAnsi="Arial" w:cs="Arial"/>
          <w:lang w:eastAsia="es-PE"/>
        </w:rPr>
        <w:t>Ley 28090</w:t>
      </w:r>
      <w:r w:rsidRPr="00BD3CCF">
        <w:rPr>
          <w:rFonts w:ascii="Arial" w:eastAsia="Times New Roman" w:hAnsi="Arial" w:cs="Arial"/>
          <w:lang w:eastAsia="es-PE"/>
        </w:rPr>
        <w:t xml:space="preserve"> y su reglamento para incluir enfoques de gestión basados en riesgos y no solo en cumplimiento normativo.</w:t>
      </w:r>
    </w:p>
    <w:p w14:paraId="3049E319" w14:textId="77777777" w:rsidR="00BD3CCF" w:rsidRPr="00BD3CCF" w:rsidRDefault="00BD3CCF" w:rsidP="00BD3CCF">
      <w:pPr>
        <w:numPr>
          <w:ilvl w:val="0"/>
          <w:numId w:val="2"/>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Promover la implementación obligatoria de garantías financieras más flexibles pero rigurosas, ajustadas a los estándares del ICMM.</w:t>
      </w:r>
    </w:p>
    <w:p w14:paraId="1D99FA45" w14:textId="77777777" w:rsidR="00BD3CCF" w:rsidRPr="00BD3CCF" w:rsidRDefault="00BD3CCF" w:rsidP="00BD3CCF">
      <w:pPr>
        <w:numPr>
          <w:ilvl w:val="0"/>
          <w:numId w:val="2"/>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Elaborar una nueva Guía de Cierre de Minas adaptada a las mejores prácticas internacionales, que integre aspectos financieros, sociales y ambientales desde el inicio del proyecto.</w:t>
      </w:r>
    </w:p>
    <w:p w14:paraId="3722E7C8" w14:textId="77777777" w:rsidR="00BD3CCF" w:rsidRPr="00BD3CCF" w:rsidRDefault="00BD3CCF" w:rsidP="00BD3CCF">
      <w:pPr>
        <w:numPr>
          <w:ilvl w:val="0"/>
          <w:numId w:val="2"/>
        </w:numPr>
        <w:spacing w:before="100" w:beforeAutospacing="1" w:after="100" w:afterAutospacing="1" w:line="240" w:lineRule="auto"/>
        <w:jc w:val="both"/>
        <w:rPr>
          <w:rFonts w:ascii="Arial" w:eastAsia="Times New Roman" w:hAnsi="Arial" w:cs="Arial"/>
          <w:lang w:eastAsia="es-PE"/>
        </w:rPr>
      </w:pPr>
      <w:r w:rsidRPr="00BD3CCF">
        <w:rPr>
          <w:rFonts w:ascii="Arial" w:eastAsia="Times New Roman" w:hAnsi="Arial" w:cs="Arial"/>
          <w:lang w:eastAsia="es-PE"/>
        </w:rPr>
        <w:t>Fortalecer la supervisión y fiscalización para asegurar que las garantías financieras estén siempre actualizadas y acordes a la magnitud real de los cierres proyectados.</w:t>
      </w:r>
      <w:r w:rsidRPr="00BD3CCF">
        <w:rPr>
          <w:rFonts w:ascii="Arial" w:eastAsia="Times New Roman" w:hAnsi="Arial" w:cs="Arial"/>
          <w:lang w:eastAsia="es-PE"/>
        </w:rPr>
        <w:br/>
        <w:t>De esta manera, se busca lograr cierres de minas más sostenibles, financieramente responsables y socialmente aceptados en el Perú.</w:t>
      </w:r>
    </w:p>
    <w:p w14:paraId="5122BEC5" w14:textId="77777777" w:rsidR="007C594E" w:rsidRPr="00D35076" w:rsidRDefault="007C594E">
      <w:pPr>
        <w:rPr>
          <w:rFonts w:ascii="Arial" w:hAnsi="Arial" w:cs="Arial"/>
        </w:rPr>
      </w:pPr>
    </w:p>
    <w:sectPr w:rsidR="007C594E" w:rsidRPr="00D35076" w:rsidSect="00D35076">
      <w:pgSz w:w="11906" w:h="16838"/>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75CAE"/>
    <w:multiLevelType w:val="multilevel"/>
    <w:tmpl w:val="973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D6D02"/>
    <w:multiLevelType w:val="multilevel"/>
    <w:tmpl w:val="699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519CD"/>
    <w:multiLevelType w:val="multilevel"/>
    <w:tmpl w:val="16A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CF"/>
    <w:rsid w:val="00102F84"/>
    <w:rsid w:val="00153373"/>
    <w:rsid w:val="00234054"/>
    <w:rsid w:val="00334CDD"/>
    <w:rsid w:val="00500A7C"/>
    <w:rsid w:val="00524799"/>
    <w:rsid w:val="005762F0"/>
    <w:rsid w:val="005C6D76"/>
    <w:rsid w:val="00740603"/>
    <w:rsid w:val="007C594E"/>
    <w:rsid w:val="007D160A"/>
    <w:rsid w:val="00806C55"/>
    <w:rsid w:val="008F1455"/>
    <w:rsid w:val="0090448A"/>
    <w:rsid w:val="00927EA9"/>
    <w:rsid w:val="009811D3"/>
    <w:rsid w:val="009D09F8"/>
    <w:rsid w:val="00A255D2"/>
    <w:rsid w:val="00A41C3F"/>
    <w:rsid w:val="00AE0889"/>
    <w:rsid w:val="00B734DF"/>
    <w:rsid w:val="00B753AD"/>
    <w:rsid w:val="00B96F29"/>
    <w:rsid w:val="00BD3CCF"/>
    <w:rsid w:val="00D35076"/>
    <w:rsid w:val="00EA5A4F"/>
    <w:rsid w:val="00FF54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D69A8"/>
  <w15:chartTrackingRefBased/>
  <w15:docId w15:val="{9312EE2E-813E-48B8-80B7-064459C6A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BD3CCF"/>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D3CCF"/>
    <w:rPr>
      <w:b/>
      <w:bCs/>
    </w:rPr>
  </w:style>
  <w:style w:type="character" w:customStyle="1" w:styleId="Ttulo2Car">
    <w:name w:val="Título 2 Car"/>
    <w:basedOn w:val="Fuentedeprrafopredeter"/>
    <w:link w:val="Ttulo2"/>
    <w:uiPriority w:val="9"/>
    <w:rsid w:val="00BD3CCF"/>
    <w:rPr>
      <w:rFonts w:ascii="Times New Roman" w:eastAsia="Times New Roman" w:hAnsi="Times New Roman" w:cs="Times New Roman"/>
      <w:b/>
      <w:bCs/>
      <w:sz w:val="36"/>
      <w:szCs w:val="36"/>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046084">
      <w:bodyDiv w:val="1"/>
      <w:marLeft w:val="0"/>
      <w:marRight w:val="0"/>
      <w:marTop w:val="0"/>
      <w:marBottom w:val="0"/>
      <w:divBdr>
        <w:top w:val="none" w:sz="0" w:space="0" w:color="auto"/>
        <w:left w:val="none" w:sz="0" w:space="0" w:color="auto"/>
        <w:bottom w:val="none" w:sz="0" w:space="0" w:color="auto"/>
        <w:right w:val="none" w:sz="0" w:space="0" w:color="auto"/>
      </w:divBdr>
    </w:div>
    <w:div w:id="1023556979">
      <w:bodyDiv w:val="1"/>
      <w:marLeft w:val="0"/>
      <w:marRight w:val="0"/>
      <w:marTop w:val="0"/>
      <w:marBottom w:val="0"/>
      <w:divBdr>
        <w:top w:val="none" w:sz="0" w:space="0" w:color="auto"/>
        <w:left w:val="none" w:sz="0" w:space="0" w:color="auto"/>
        <w:bottom w:val="none" w:sz="0" w:space="0" w:color="auto"/>
        <w:right w:val="none" w:sz="0" w:space="0" w:color="auto"/>
      </w:divBdr>
    </w:div>
    <w:div w:id="131611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1175</Words>
  <Characters>6463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Astuyauri</dc:creator>
  <cp:keywords/>
  <dc:description/>
  <cp:lastModifiedBy>Diego Astuyauri</cp:lastModifiedBy>
  <cp:revision>7</cp:revision>
  <cp:lastPrinted>2025-04-29T15:07:00Z</cp:lastPrinted>
  <dcterms:created xsi:type="dcterms:W3CDTF">2025-04-27T01:22:00Z</dcterms:created>
  <dcterms:modified xsi:type="dcterms:W3CDTF">2025-04-29T15:11:00Z</dcterms:modified>
</cp:coreProperties>
</file>