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B3E0" w14:textId="6A5DB80D" w:rsidR="00D35898" w:rsidRPr="00575F01" w:rsidRDefault="00421BF3" w:rsidP="000701C1">
      <w:pPr>
        <w:spacing w:line="360" w:lineRule="auto"/>
        <w:jc w:val="both"/>
        <w:rPr>
          <w:rFonts w:cs="Arial"/>
          <w:sz w:val="22"/>
          <w:szCs w:val="22"/>
          <w:lang w:val="es-ES"/>
        </w:rPr>
      </w:pPr>
      <w:r w:rsidRPr="00575F01">
        <w:rPr>
          <w:rFonts w:cs="Arial"/>
          <w:b/>
          <w:bCs/>
          <w:sz w:val="22"/>
          <w:szCs w:val="22"/>
          <w:lang w:val="es-ES"/>
        </w:rPr>
        <w:t>Resumen</w:t>
      </w:r>
      <w:r w:rsidRPr="00575F01">
        <w:rPr>
          <w:rFonts w:cs="Arial"/>
          <w:sz w:val="22"/>
          <w:szCs w:val="22"/>
          <w:lang w:val="es-ES"/>
        </w:rPr>
        <w:t>:</w:t>
      </w:r>
    </w:p>
    <w:p w14:paraId="7288B63A"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 xml:space="preserve">La gestión de relaves en la industria minera peruana enfrenta desafíos significativos debido a los riesgos ambientales, sociales y operacionales asociados. El marco regulatorio actual, aunque ha avanzado con la incorporación del Decreto Supremo N.º 034-2023-EM, aún presenta deficiencias en su aplicación, fiscalización y alineación con estándares internacionales como el Global </w:t>
      </w:r>
      <w:proofErr w:type="spellStart"/>
      <w:r w:rsidRPr="00575F01">
        <w:rPr>
          <w:rFonts w:cs="Arial"/>
          <w:bCs/>
          <w:iCs/>
          <w:sz w:val="22"/>
          <w:szCs w:val="22"/>
          <w:lang w:val="es-ES"/>
        </w:rPr>
        <w:t>Industry</w:t>
      </w:r>
      <w:proofErr w:type="spellEnd"/>
      <w:r w:rsidRPr="00575F01">
        <w:rPr>
          <w:rFonts w:cs="Arial"/>
          <w:bCs/>
          <w:iCs/>
          <w:sz w:val="22"/>
          <w:szCs w:val="22"/>
          <w:lang w:val="es-ES"/>
        </w:rPr>
        <w:t xml:space="preserve"> Standard </w:t>
      </w:r>
      <w:proofErr w:type="spellStart"/>
      <w:r w:rsidRPr="00575F01">
        <w:rPr>
          <w:rFonts w:cs="Arial"/>
          <w:bCs/>
          <w:iCs/>
          <w:sz w:val="22"/>
          <w:szCs w:val="22"/>
          <w:lang w:val="es-ES"/>
        </w:rPr>
        <w:t>on</w:t>
      </w:r>
      <w:proofErr w:type="spellEnd"/>
      <w:r w:rsidRPr="00575F01">
        <w:rPr>
          <w:rFonts w:cs="Arial"/>
          <w:bCs/>
          <w:iCs/>
          <w:sz w:val="22"/>
          <w:szCs w:val="22"/>
          <w:lang w:val="es-ES"/>
        </w:rPr>
        <w:t xml:space="preserve"> </w:t>
      </w:r>
      <w:proofErr w:type="spellStart"/>
      <w:r w:rsidRPr="00575F01">
        <w:rPr>
          <w:rFonts w:cs="Arial"/>
          <w:bCs/>
          <w:iCs/>
          <w:sz w:val="22"/>
          <w:szCs w:val="22"/>
          <w:lang w:val="es-ES"/>
        </w:rPr>
        <w:t>Tailings</w:t>
      </w:r>
      <w:proofErr w:type="spellEnd"/>
      <w:r w:rsidRPr="00575F01">
        <w:rPr>
          <w:rFonts w:cs="Arial"/>
          <w:bCs/>
          <w:iCs/>
          <w:sz w:val="22"/>
          <w:szCs w:val="22"/>
          <w:lang w:val="es-ES"/>
        </w:rPr>
        <w:t xml:space="preserve"> Management (GISTM).</w:t>
      </w:r>
    </w:p>
    <w:p w14:paraId="1E2EDE77" w14:textId="77777777" w:rsidR="00575F01" w:rsidRPr="00575F01" w:rsidRDefault="00575F01" w:rsidP="00575F01">
      <w:pPr>
        <w:spacing w:line="360" w:lineRule="auto"/>
        <w:jc w:val="both"/>
        <w:rPr>
          <w:rFonts w:cs="Arial"/>
          <w:bCs/>
          <w:iCs/>
          <w:sz w:val="22"/>
          <w:szCs w:val="22"/>
          <w:lang w:val="es-ES"/>
        </w:rPr>
      </w:pPr>
    </w:p>
    <w:p w14:paraId="01C3CA8E"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Esta investigación evaluó el marco normativo peruano en comparación con regulaciones internacionales, identificando brechas en aspectos como estabilidad geotécnica, monitoreo continuo, fiscalización y participación comunitaria. Se analizaron casos emblemáticos de fallas en depósitos de relaves (</w:t>
      </w:r>
      <w:proofErr w:type="spellStart"/>
      <w:r w:rsidRPr="00575F01">
        <w:rPr>
          <w:rFonts w:cs="Arial"/>
          <w:bCs/>
          <w:iCs/>
          <w:sz w:val="22"/>
          <w:szCs w:val="22"/>
          <w:lang w:val="es-ES"/>
        </w:rPr>
        <w:t>Fundão</w:t>
      </w:r>
      <w:proofErr w:type="spellEnd"/>
      <w:r w:rsidRPr="00575F01">
        <w:rPr>
          <w:rFonts w:cs="Arial"/>
          <w:bCs/>
          <w:iCs/>
          <w:sz w:val="22"/>
          <w:szCs w:val="22"/>
          <w:lang w:val="es-ES"/>
        </w:rPr>
        <w:t xml:space="preserve">, </w:t>
      </w:r>
      <w:proofErr w:type="spellStart"/>
      <w:r w:rsidRPr="00575F01">
        <w:rPr>
          <w:rFonts w:cs="Arial"/>
          <w:bCs/>
          <w:iCs/>
          <w:sz w:val="22"/>
          <w:szCs w:val="22"/>
          <w:lang w:val="es-ES"/>
        </w:rPr>
        <w:t>Brumadinho</w:t>
      </w:r>
      <w:proofErr w:type="spellEnd"/>
      <w:r w:rsidRPr="00575F01">
        <w:rPr>
          <w:rFonts w:cs="Arial"/>
          <w:bCs/>
          <w:iCs/>
          <w:sz w:val="22"/>
          <w:szCs w:val="22"/>
          <w:lang w:val="es-ES"/>
        </w:rPr>
        <w:t xml:space="preserve"> y Mount </w:t>
      </w:r>
      <w:proofErr w:type="spellStart"/>
      <w:r w:rsidRPr="00575F01">
        <w:rPr>
          <w:rFonts w:cs="Arial"/>
          <w:bCs/>
          <w:iCs/>
          <w:sz w:val="22"/>
          <w:szCs w:val="22"/>
          <w:lang w:val="es-ES"/>
        </w:rPr>
        <w:t>Polley</w:t>
      </w:r>
      <w:proofErr w:type="spellEnd"/>
      <w:r w:rsidRPr="00575F01">
        <w:rPr>
          <w:rFonts w:cs="Arial"/>
          <w:bCs/>
          <w:iCs/>
          <w:sz w:val="22"/>
          <w:szCs w:val="22"/>
          <w:lang w:val="es-ES"/>
        </w:rPr>
        <w:t>), destacando la importancia de una gestión preventiva y basada en riesgos.</w:t>
      </w:r>
    </w:p>
    <w:p w14:paraId="12220A9A" w14:textId="77777777" w:rsidR="00575F01" w:rsidRPr="00575F01" w:rsidRDefault="00575F01" w:rsidP="00575F01">
      <w:pPr>
        <w:spacing w:line="360" w:lineRule="auto"/>
        <w:jc w:val="both"/>
        <w:rPr>
          <w:rFonts w:cs="Arial"/>
          <w:bCs/>
          <w:iCs/>
          <w:sz w:val="22"/>
          <w:szCs w:val="22"/>
          <w:lang w:val="es-ES"/>
        </w:rPr>
      </w:pPr>
    </w:p>
    <w:p w14:paraId="2F7951C7"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El análisis realizado permite concluir que la regulación sobre relaves en el Perú presenta un marco fragmentado y disperso entre diversas entidades gubernamentales, como el MINEM, el OEFA y el MINAM, lo que genera duplicidades y vacíos normativos que dificultan su aplicación eficaz. La falta de claridad en parámetros técnicos fundamentales, como los factores de seguridad mínimos exigibles, evidencia la necesidad de una regulación más precisa y coherente.</w:t>
      </w:r>
    </w:p>
    <w:p w14:paraId="5C430BDE" w14:textId="77777777" w:rsidR="00575F01" w:rsidRPr="00575F01" w:rsidRDefault="00575F01" w:rsidP="00575F01">
      <w:pPr>
        <w:spacing w:line="360" w:lineRule="auto"/>
        <w:jc w:val="both"/>
        <w:rPr>
          <w:rFonts w:cs="Arial"/>
          <w:bCs/>
          <w:iCs/>
          <w:sz w:val="22"/>
          <w:szCs w:val="22"/>
          <w:lang w:val="es-ES"/>
        </w:rPr>
      </w:pPr>
    </w:p>
    <w:p w14:paraId="132B35EB"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 xml:space="preserve">Asimismo, se identifican limitaciones significativas en los mecanismos de fiscalización y monitoreo, especialmente en contextos de pequeña y mediana minería, donde la supervisión estatal es insuficiente. La ausencia de tecnologías avanzadas de monitoreo, como sensores </w:t>
      </w:r>
      <w:proofErr w:type="spellStart"/>
      <w:r w:rsidRPr="00575F01">
        <w:rPr>
          <w:rFonts w:cs="Arial"/>
          <w:bCs/>
          <w:iCs/>
          <w:sz w:val="22"/>
          <w:szCs w:val="22"/>
          <w:lang w:val="es-ES"/>
        </w:rPr>
        <w:t>IoT</w:t>
      </w:r>
      <w:proofErr w:type="spellEnd"/>
      <w:r w:rsidRPr="00575F01">
        <w:rPr>
          <w:rFonts w:cs="Arial"/>
          <w:bCs/>
          <w:iCs/>
          <w:sz w:val="22"/>
          <w:szCs w:val="22"/>
          <w:lang w:val="es-ES"/>
        </w:rPr>
        <w:t>, drones o imágenes satelitales, y su carácter no obligatorio, refleja una brecha tecnológica en la gestión del riesgo.</w:t>
      </w:r>
    </w:p>
    <w:p w14:paraId="7BC02BEB" w14:textId="77777777" w:rsidR="00575F01" w:rsidRPr="00575F01" w:rsidRDefault="00575F01" w:rsidP="00575F01">
      <w:pPr>
        <w:spacing w:line="360" w:lineRule="auto"/>
        <w:jc w:val="both"/>
        <w:rPr>
          <w:rFonts w:cs="Arial"/>
          <w:bCs/>
          <w:iCs/>
          <w:sz w:val="22"/>
          <w:szCs w:val="22"/>
          <w:lang w:val="es-ES"/>
        </w:rPr>
      </w:pPr>
    </w:p>
    <w:p w14:paraId="1661D561"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En comparación con estándares internacionales como el GISTM, la normativa peruana aún no contempla prácticas fundamentales como la auditoría técnica independiente, la clasificación de depósitos por nivel de riesgo, ni la implementación de planes de contingencia obligatorios. Esta situación incrementa el riesgo de fallas geotécnicas y daños ambientales severos, en un contexto donde los depósitos se ubican frecuentemente en zonas sísmicas y de alta sensibilidad ecosistémica.</w:t>
      </w:r>
    </w:p>
    <w:p w14:paraId="42439938" w14:textId="77777777" w:rsidR="00575F01" w:rsidRPr="00575F01" w:rsidRDefault="00575F01" w:rsidP="00575F01">
      <w:pPr>
        <w:spacing w:line="360" w:lineRule="auto"/>
        <w:jc w:val="both"/>
        <w:rPr>
          <w:rFonts w:cs="Arial"/>
          <w:bCs/>
          <w:iCs/>
          <w:sz w:val="22"/>
          <w:szCs w:val="22"/>
          <w:lang w:val="es-ES"/>
        </w:rPr>
      </w:pPr>
    </w:p>
    <w:p w14:paraId="40A87C02"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 xml:space="preserve">Finalmente, se constata que el Perú requiere alinear su normativa con marcos de gobernanza internacional para asegurar una gestión sostenible de los relaves, </w:t>
      </w:r>
      <w:r w:rsidRPr="00575F01">
        <w:rPr>
          <w:rFonts w:cs="Arial"/>
          <w:bCs/>
          <w:iCs/>
          <w:sz w:val="22"/>
          <w:szCs w:val="22"/>
          <w:lang w:val="es-ES"/>
        </w:rPr>
        <w:lastRenderedPageBreak/>
        <w:t>incorporando principios de justicia ambiental, participación ciudadana y responsabilidad corporativa en todo el ciclo de vida del depósito</w:t>
      </w:r>
    </w:p>
    <w:p w14:paraId="7D33DA5E"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En función de los hallazgos obtenidos, se recomienda en primer lugar el fortalecimiento del marco normativo mediante la elaboración de una ley específica sobre gestión de relaves que incorpore requisitos técnicos, ambientales y sociales, orientados bajo un enfoque de ciclo de vida. Esta normativa debe alinearse con el GISTM e incluir disposiciones obligatorias sobre auditorías independientes, clasificación de riesgo y planes de contingencia. Además, se sugiere actualizar los factores de seguridad requeridos en el diseño estructural de los depósitos, estableciendo como mínimo un FS ≥ 1.5 en condiciones estáticas y mayores exigencias en zonas sísmicas.</w:t>
      </w:r>
    </w:p>
    <w:p w14:paraId="494D382A" w14:textId="77777777" w:rsidR="00575F01" w:rsidRPr="00575F01" w:rsidRDefault="00575F01" w:rsidP="00575F01">
      <w:pPr>
        <w:spacing w:line="360" w:lineRule="auto"/>
        <w:jc w:val="both"/>
        <w:rPr>
          <w:rFonts w:cs="Arial"/>
          <w:bCs/>
          <w:iCs/>
          <w:sz w:val="22"/>
          <w:szCs w:val="22"/>
          <w:lang w:val="es-ES"/>
        </w:rPr>
      </w:pPr>
    </w:p>
    <w:p w14:paraId="32709261"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 xml:space="preserve">En segundo lugar, se propone mejorar la fiscalización y supervisión mediante la implementación de sistemas de monitoreo en tiempo real, empleando sensores </w:t>
      </w:r>
      <w:proofErr w:type="spellStart"/>
      <w:r w:rsidRPr="00575F01">
        <w:rPr>
          <w:rFonts w:cs="Arial"/>
          <w:bCs/>
          <w:iCs/>
          <w:sz w:val="22"/>
          <w:szCs w:val="22"/>
          <w:lang w:val="es-ES"/>
        </w:rPr>
        <w:t>IoT</w:t>
      </w:r>
      <w:proofErr w:type="spellEnd"/>
      <w:r w:rsidRPr="00575F01">
        <w:rPr>
          <w:rFonts w:cs="Arial"/>
          <w:bCs/>
          <w:iCs/>
          <w:sz w:val="22"/>
          <w:szCs w:val="22"/>
          <w:lang w:val="es-ES"/>
        </w:rPr>
        <w:t>, imágenes satelitales y plataformas de acceso público que centralicen la información técnica. Asimismo, es fundamental fortalecer las capacidades institucionales del OEFA y el MINEM a través de la formación técnica continua de inspectores, la creación de unidades especializadas en relaves y el incremento del presupuesto destinado a fiscalización. Las sanciones por incumplimientos deben ser reformuladas para que actúen como mecanismos efectivos de disuasión, contemplando desde multas proporcionales al nivel de riesgo hasta la suspensión de operaciones en casos críticos.</w:t>
      </w:r>
    </w:p>
    <w:p w14:paraId="23AC5507" w14:textId="77777777" w:rsidR="00575F01" w:rsidRPr="00575F01" w:rsidRDefault="00575F01" w:rsidP="00575F01">
      <w:pPr>
        <w:spacing w:line="360" w:lineRule="auto"/>
        <w:jc w:val="both"/>
        <w:rPr>
          <w:rFonts w:cs="Arial"/>
          <w:bCs/>
          <w:iCs/>
          <w:sz w:val="22"/>
          <w:szCs w:val="22"/>
          <w:lang w:val="es-ES"/>
        </w:rPr>
      </w:pPr>
    </w:p>
    <w:p w14:paraId="2546B374"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En tercer lugar, se recomienda promover la adopción de buenas prácticas internacionales, tales como la revisión técnica por expertos independientes, la aplicación de tecnologías sostenibles como los relaves filtrados (</w:t>
      </w:r>
      <w:proofErr w:type="spellStart"/>
      <w:r w:rsidRPr="00575F01">
        <w:rPr>
          <w:rFonts w:cs="Arial"/>
          <w:bCs/>
          <w:iCs/>
          <w:sz w:val="22"/>
          <w:szCs w:val="22"/>
          <w:lang w:val="es-ES"/>
        </w:rPr>
        <w:t>dry</w:t>
      </w:r>
      <w:proofErr w:type="spellEnd"/>
      <w:r w:rsidRPr="00575F01">
        <w:rPr>
          <w:rFonts w:cs="Arial"/>
          <w:bCs/>
          <w:iCs/>
          <w:sz w:val="22"/>
          <w:szCs w:val="22"/>
          <w:lang w:val="es-ES"/>
        </w:rPr>
        <w:t xml:space="preserve"> </w:t>
      </w:r>
      <w:proofErr w:type="spellStart"/>
      <w:r w:rsidRPr="00575F01">
        <w:rPr>
          <w:rFonts w:cs="Arial"/>
          <w:bCs/>
          <w:iCs/>
          <w:sz w:val="22"/>
          <w:szCs w:val="22"/>
          <w:lang w:val="es-ES"/>
        </w:rPr>
        <w:t>stacking</w:t>
      </w:r>
      <w:proofErr w:type="spellEnd"/>
      <w:r w:rsidRPr="00575F01">
        <w:rPr>
          <w:rFonts w:cs="Arial"/>
          <w:bCs/>
          <w:iCs/>
          <w:sz w:val="22"/>
          <w:szCs w:val="22"/>
          <w:lang w:val="es-ES"/>
        </w:rPr>
        <w:t>), y la reutilización de relaves en construcción, siguiendo modelos implementados en países como Chile y Australia. La participación comunitaria debe integrarse como un eje transversal, a través de mecanismos de consulta previa, comités de vigilancia participativa y la transparencia de la información ambiental.</w:t>
      </w:r>
    </w:p>
    <w:p w14:paraId="245F2EAD" w14:textId="77777777" w:rsidR="00575F01" w:rsidRPr="00575F01" w:rsidRDefault="00575F01" w:rsidP="00575F01">
      <w:pPr>
        <w:spacing w:line="360" w:lineRule="auto"/>
        <w:jc w:val="both"/>
        <w:rPr>
          <w:rFonts w:cs="Arial"/>
          <w:bCs/>
          <w:iCs/>
          <w:sz w:val="22"/>
          <w:szCs w:val="22"/>
          <w:lang w:val="es-ES"/>
        </w:rPr>
      </w:pPr>
    </w:p>
    <w:p w14:paraId="728E6BE6" w14:textId="77777777" w:rsidR="00575F01" w:rsidRPr="00575F01" w:rsidRDefault="00575F01" w:rsidP="00575F01">
      <w:pPr>
        <w:spacing w:line="360" w:lineRule="auto"/>
        <w:jc w:val="both"/>
        <w:rPr>
          <w:rFonts w:cs="Arial"/>
          <w:bCs/>
          <w:iCs/>
          <w:sz w:val="22"/>
          <w:szCs w:val="22"/>
          <w:lang w:val="es-ES"/>
        </w:rPr>
      </w:pPr>
      <w:r w:rsidRPr="00575F01">
        <w:rPr>
          <w:rFonts w:cs="Arial"/>
          <w:bCs/>
          <w:iCs/>
          <w:sz w:val="22"/>
          <w:szCs w:val="22"/>
          <w:lang w:val="es-ES"/>
        </w:rPr>
        <w:t>Por último, se sugiere fomentar la investigación científica y la cooperación técnica internacional. Para ello, se debe impulsar el financiamiento de proyectos de investigación aplicada sobre gestión de relaves en universidades y centros especializados, así como establecer acuerdos bilaterales con países líderes como Canadá y Australia, orientados a la transferencia de conocimientos, metodologías y tecnologías. Estas medidas permitirán avanzar hacia una gestión de relaves ética, resiliente y basada en evidencia científica.</w:t>
      </w:r>
    </w:p>
    <w:p w14:paraId="411B83E6" w14:textId="7FC815D8" w:rsidR="000701C1" w:rsidRDefault="000701C1" w:rsidP="00575F01">
      <w:pPr>
        <w:spacing w:after="160" w:line="259" w:lineRule="auto"/>
        <w:rPr>
          <w:rFonts w:asciiTheme="minorHAnsi" w:hAnsiTheme="minorHAnsi" w:cstheme="minorHAnsi"/>
          <w:sz w:val="22"/>
          <w:szCs w:val="22"/>
          <w:lang w:val="es-ES"/>
        </w:rPr>
      </w:pPr>
      <w:r>
        <w:rPr>
          <w:rFonts w:asciiTheme="minorHAnsi" w:hAnsiTheme="minorHAnsi" w:cstheme="minorHAnsi"/>
          <w:sz w:val="22"/>
          <w:szCs w:val="22"/>
          <w:lang w:val="es-ES"/>
        </w:rPr>
        <w:br w:type="page"/>
      </w:r>
    </w:p>
    <w:p w14:paraId="2C10A2F6" w14:textId="6DCDA6D7" w:rsidR="000701C1" w:rsidRDefault="00575F01" w:rsidP="000701C1">
      <w:pPr>
        <w:spacing w:line="360" w:lineRule="auto"/>
        <w:jc w:val="both"/>
        <w:rPr>
          <w:rFonts w:asciiTheme="minorHAnsi" w:hAnsiTheme="minorHAnsi" w:cstheme="minorHAnsi"/>
          <w:sz w:val="22"/>
          <w:szCs w:val="22"/>
          <w:lang w:val="es-ES"/>
        </w:rPr>
      </w:pPr>
      <w:r w:rsidRPr="000701C1">
        <w:rPr>
          <w:rFonts w:asciiTheme="minorHAnsi" w:hAnsiTheme="minorHAnsi" w:cstheme="minorHAnsi"/>
          <w:b/>
          <w:bCs/>
          <w:sz w:val="22"/>
          <w:szCs w:val="22"/>
          <w:lang w:val="es-ES"/>
        </w:rPr>
        <w:lastRenderedPageBreak/>
        <w:t>Título</w:t>
      </w:r>
      <w:r w:rsidR="000701C1" w:rsidRPr="000701C1">
        <w:rPr>
          <w:rFonts w:asciiTheme="minorHAnsi" w:hAnsiTheme="minorHAnsi" w:cstheme="minorHAnsi"/>
          <w:b/>
          <w:bCs/>
          <w:sz w:val="22"/>
          <w:szCs w:val="22"/>
          <w:lang w:val="es-ES"/>
        </w:rPr>
        <w:t xml:space="preserve"> de trabajo</w:t>
      </w:r>
      <w:r>
        <w:rPr>
          <w:lang w:val="es-PE"/>
        </w:rPr>
        <w:t xml:space="preserve">: </w:t>
      </w:r>
      <w:r w:rsidRPr="00575F01">
        <w:rPr>
          <w:rFonts w:asciiTheme="minorHAnsi" w:hAnsiTheme="minorHAnsi" w:cstheme="minorHAnsi"/>
          <w:sz w:val="22"/>
          <w:szCs w:val="22"/>
          <w:lang w:val="es-ES"/>
        </w:rPr>
        <w:t>MARCO REGULATORIO PARA LA GESTIÓN DE RELAVES EN EL PERÚ: EVALUACIÓN Y PROPUESTAS DE MEJORA</w:t>
      </w:r>
      <w:r w:rsidR="00613FD9">
        <w:rPr>
          <w:rFonts w:asciiTheme="minorHAnsi" w:hAnsiTheme="minorHAnsi" w:cstheme="minorHAnsi"/>
          <w:sz w:val="22"/>
          <w:szCs w:val="22"/>
          <w:lang w:val="es-ES"/>
        </w:rPr>
        <w:t>.</w:t>
      </w:r>
    </w:p>
    <w:p w14:paraId="0F0E35B1" w14:textId="5CB57066" w:rsidR="000701C1" w:rsidRPr="000701C1" w:rsidRDefault="000701C1" w:rsidP="000701C1">
      <w:pPr>
        <w:spacing w:line="360" w:lineRule="auto"/>
        <w:jc w:val="both"/>
        <w:rPr>
          <w:rFonts w:asciiTheme="minorHAnsi" w:hAnsiTheme="minorHAnsi" w:cstheme="minorHAnsi"/>
          <w:b/>
          <w:bCs/>
          <w:sz w:val="22"/>
          <w:szCs w:val="22"/>
          <w:lang w:val="es-ES"/>
        </w:rPr>
      </w:pPr>
      <w:r w:rsidRPr="000701C1">
        <w:rPr>
          <w:rFonts w:asciiTheme="minorHAnsi" w:hAnsiTheme="minorHAnsi" w:cstheme="minorHAnsi"/>
          <w:b/>
          <w:bCs/>
          <w:sz w:val="22"/>
          <w:szCs w:val="22"/>
          <w:lang w:val="es-ES"/>
        </w:rPr>
        <w:t xml:space="preserve">Categoría: </w:t>
      </w:r>
    </w:p>
    <w:p w14:paraId="1DC826A8" w14:textId="09D13A9A" w:rsidR="000701C1" w:rsidRDefault="00575F01" w:rsidP="000701C1">
      <w:pPr>
        <w:pStyle w:val="Prrafodelista"/>
        <w:numPr>
          <w:ilvl w:val="0"/>
          <w:numId w:val="21"/>
        </w:numPr>
        <w:spacing w:line="360" w:lineRule="auto"/>
        <w:jc w:val="both"/>
        <w:rPr>
          <w:rFonts w:asciiTheme="minorHAnsi" w:hAnsiTheme="minorHAnsi" w:cstheme="minorHAnsi"/>
          <w:sz w:val="22"/>
          <w:szCs w:val="22"/>
          <w:lang w:val="es-ES"/>
        </w:rPr>
      </w:pPr>
      <w:r>
        <w:rPr>
          <w:rFonts w:asciiTheme="minorHAnsi" w:hAnsiTheme="minorHAnsi" w:cstheme="minorHAnsi"/>
          <w:sz w:val="22"/>
          <w:szCs w:val="22"/>
          <w:u w:val="single"/>
          <w:lang w:val="es-ES"/>
        </w:rPr>
        <w:t xml:space="preserve">Regulación y Economía </w:t>
      </w:r>
      <w:r w:rsidR="00386322">
        <w:rPr>
          <w:rFonts w:asciiTheme="minorHAnsi" w:hAnsiTheme="minorHAnsi" w:cstheme="minorHAnsi"/>
          <w:sz w:val="22"/>
          <w:szCs w:val="22"/>
          <w:u w:val="single"/>
          <w:lang w:val="es-ES"/>
        </w:rPr>
        <w:t>Minera:</w:t>
      </w:r>
      <w:r w:rsidR="000701C1" w:rsidRPr="000701C1">
        <w:rPr>
          <w:rFonts w:asciiTheme="minorHAnsi" w:hAnsiTheme="minorHAnsi" w:cstheme="minorHAnsi"/>
          <w:sz w:val="22"/>
          <w:szCs w:val="22"/>
          <w:lang w:val="es-ES"/>
        </w:rPr>
        <w:t xml:space="preserve"> </w:t>
      </w:r>
      <w:r w:rsidR="00081C71">
        <w:rPr>
          <w:rFonts w:asciiTheme="minorHAnsi" w:hAnsiTheme="minorHAnsi" w:cstheme="minorHAnsi"/>
          <w:sz w:val="22"/>
          <w:szCs w:val="22"/>
          <w:lang w:val="es-ES"/>
        </w:rPr>
        <w:t>Seguridad minera/</w:t>
      </w:r>
      <w:r>
        <w:rPr>
          <w:rFonts w:asciiTheme="minorHAnsi" w:hAnsiTheme="minorHAnsi" w:cstheme="minorHAnsi"/>
          <w:sz w:val="22"/>
          <w:szCs w:val="22"/>
          <w:lang w:val="es-ES"/>
        </w:rPr>
        <w:t>Eficacia de la fiscalización en el sector minero</w:t>
      </w:r>
    </w:p>
    <w:p w14:paraId="40E5D56C" w14:textId="1A755E62" w:rsidR="00036CBD" w:rsidRPr="00036CBD" w:rsidRDefault="00036CBD" w:rsidP="00036CBD">
      <w:pPr>
        <w:spacing w:line="360" w:lineRule="auto"/>
        <w:jc w:val="both"/>
        <w:rPr>
          <w:rFonts w:asciiTheme="minorHAnsi" w:hAnsiTheme="minorHAnsi" w:cstheme="minorHAnsi"/>
          <w:b/>
          <w:bCs/>
          <w:sz w:val="22"/>
          <w:szCs w:val="22"/>
          <w:lang w:val="es-ES"/>
        </w:rPr>
      </w:pPr>
      <w:r w:rsidRPr="00036CBD">
        <w:rPr>
          <w:rFonts w:asciiTheme="minorHAnsi" w:hAnsiTheme="minorHAnsi" w:cstheme="minorHAnsi"/>
          <w:b/>
          <w:bCs/>
          <w:sz w:val="22"/>
          <w:szCs w:val="22"/>
          <w:lang w:val="es-ES"/>
        </w:rPr>
        <w:t>Autores</w:t>
      </w:r>
    </w:p>
    <w:p w14:paraId="7673D581" w14:textId="00CB0D52" w:rsidR="0019149C"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 xml:space="preserve">Autor: Antony Gregorio Aguedo Asencios </w:t>
      </w:r>
    </w:p>
    <w:p w14:paraId="0E04086E" w14:textId="398F7D26" w:rsidR="00DE0223"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Empresa:</w:t>
      </w:r>
      <w:r w:rsidR="00B91DDB">
        <w:rPr>
          <w:rFonts w:asciiTheme="minorHAnsi" w:hAnsiTheme="minorHAnsi" w:cstheme="minorHAnsi"/>
          <w:sz w:val="22"/>
          <w:szCs w:val="22"/>
          <w:lang w:val="es-ES"/>
        </w:rPr>
        <w:t xml:space="preserve"> </w:t>
      </w:r>
      <w:r w:rsidR="00575F01">
        <w:rPr>
          <w:rFonts w:asciiTheme="minorHAnsi" w:hAnsiTheme="minorHAnsi" w:cstheme="minorHAnsi"/>
          <w:sz w:val="22"/>
          <w:szCs w:val="22"/>
          <w:lang w:val="es-ES"/>
        </w:rPr>
        <w:t>Pontificia Universidad Católica del Perú</w:t>
      </w:r>
    </w:p>
    <w:p w14:paraId="3470158B" w14:textId="6F549D18" w:rsidR="00DE0223"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Cargo:</w:t>
      </w:r>
      <w:r w:rsidR="00B91DDB">
        <w:rPr>
          <w:rFonts w:asciiTheme="minorHAnsi" w:hAnsiTheme="minorHAnsi" w:cstheme="minorHAnsi"/>
          <w:sz w:val="22"/>
          <w:szCs w:val="22"/>
          <w:lang w:val="es-ES"/>
        </w:rPr>
        <w:t xml:space="preserve"> </w:t>
      </w:r>
      <w:r w:rsidR="00575F01" w:rsidRPr="00575F01">
        <w:rPr>
          <w:rFonts w:asciiTheme="minorHAnsi" w:hAnsiTheme="minorHAnsi" w:cstheme="minorHAnsi"/>
          <w:sz w:val="22"/>
          <w:szCs w:val="22"/>
          <w:lang w:val="es-ES"/>
        </w:rPr>
        <w:t>Docente Universitario TPA</w:t>
      </w:r>
    </w:p>
    <w:p w14:paraId="47C73EF3" w14:textId="754427C5" w:rsidR="00DE0223"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Dirección:</w:t>
      </w:r>
      <w:r w:rsidR="00B91DDB">
        <w:rPr>
          <w:rFonts w:asciiTheme="minorHAnsi" w:hAnsiTheme="minorHAnsi" w:cstheme="minorHAnsi"/>
          <w:sz w:val="22"/>
          <w:szCs w:val="22"/>
          <w:lang w:val="es-ES"/>
        </w:rPr>
        <w:t xml:space="preserve"> Prolongación Caraz N°1078</w:t>
      </w:r>
    </w:p>
    <w:p w14:paraId="24649C84" w14:textId="4B9A2FEC" w:rsidR="00DE0223"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Correo corporativo:</w:t>
      </w:r>
      <w:r w:rsidR="00B91DDB">
        <w:rPr>
          <w:rFonts w:asciiTheme="minorHAnsi" w:hAnsiTheme="minorHAnsi" w:cstheme="minorHAnsi"/>
          <w:sz w:val="22"/>
          <w:szCs w:val="22"/>
          <w:lang w:val="es-ES"/>
        </w:rPr>
        <w:t xml:space="preserve"> </w:t>
      </w:r>
      <w:hyperlink r:id="rId5" w:history="1">
        <w:r w:rsidR="00575F01" w:rsidRPr="00272615">
          <w:rPr>
            <w:rStyle w:val="Hipervnculo"/>
            <w:rFonts w:asciiTheme="minorHAnsi" w:hAnsiTheme="minorHAnsi" w:cstheme="minorHAnsi"/>
            <w:sz w:val="22"/>
            <w:szCs w:val="22"/>
            <w:lang w:val="es-ES"/>
          </w:rPr>
          <w:t>antony.aguedo@pucp.edu.pe</w:t>
        </w:r>
      </w:hyperlink>
    </w:p>
    <w:p w14:paraId="6EFE788A" w14:textId="1C33581F" w:rsidR="00DE0223"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Correo personal</w:t>
      </w:r>
      <w:r w:rsidR="00B91DDB">
        <w:rPr>
          <w:rFonts w:asciiTheme="minorHAnsi" w:hAnsiTheme="minorHAnsi" w:cstheme="minorHAnsi"/>
          <w:sz w:val="22"/>
          <w:szCs w:val="22"/>
          <w:lang w:val="es-ES"/>
        </w:rPr>
        <w:t xml:space="preserve">: </w:t>
      </w:r>
      <w:hyperlink r:id="rId6" w:history="1">
        <w:r w:rsidR="00B91DDB" w:rsidRPr="00272615">
          <w:rPr>
            <w:rStyle w:val="Hipervnculo"/>
            <w:rFonts w:asciiTheme="minorHAnsi" w:hAnsiTheme="minorHAnsi" w:cstheme="minorHAnsi"/>
            <w:sz w:val="22"/>
            <w:szCs w:val="22"/>
            <w:lang w:val="es-ES"/>
          </w:rPr>
          <w:t>antony.aguedo@pucp.edu.pe</w:t>
        </w:r>
      </w:hyperlink>
      <w:r w:rsidR="00B91DDB">
        <w:rPr>
          <w:rFonts w:asciiTheme="minorHAnsi" w:hAnsiTheme="minorHAnsi" w:cstheme="minorHAnsi"/>
          <w:sz w:val="22"/>
          <w:szCs w:val="22"/>
          <w:lang w:val="es-ES"/>
        </w:rPr>
        <w:t xml:space="preserve"> </w:t>
      </w:r>
    </w:p>
    <w:p w14:paraId="3300CE97" w14:textId="4FF33D3A" w:rsidR="00DE0223" w:rsidRDefault="00DE0223"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Teléfono fijo:</w:t>
      </w:r>
      <w:r w:rsidR="00B91DDB">
        <w:rPr>
          <w:rFonts w:asciiTheme="minorHAnsi" w:hAnsiTheme="minorHAnsi" w:cstheme="minorHAnsi"/>
          <w:sz w:val="22"/>
          <w:szCs w:val="22"/>
          <w:lang w:val="es-ES"/>
        </w:rPr>
        <w:t>043-220475</w:t>
      </w:r>
    </w:p>
    <w:p w14:paraId="1633BB88" w14:textId="4E0E1CFB" w:rsidR="00DE0223" w:rsidRDefault="00756B44" w:rsidP="00DE0223">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Celular: +</w:t>
      </w:r>
      <w:r w:rsidR="00B91DDB">
        <w:rPr>
          <w:rFonts w:asciiTheme="minorHAnsi" w:hAnsiTheme="minorHAnsi" w:cstheme="minorHAnsi"/>
          <w:sz w:val="22"/>
          <w:szCs w:val="22"/>
          <w:lang w:val="es-ES"/>
        </w:rPr>
        <w:t>51-9</w:t>
      </w:r>
      <w:r w:rsidR="00575F01">
        <w:rPr>
          <w:rFonts w:asciiTheme="minorHAnsi" w:hAnsiTheme="minorHAnsi" w:cstheme="minorHAnsi"/>
          <w:sz w:val="22"/>
          <w:szCs w:val="22"/>
          <w:lang w:val="es-ES"/>
        </w:rPr>
        <w:t>59737607</w:t>
      </w:r>
    </w:p>
    <w:p w14:paraId="40C6E72D" w14:textId="746AC7CC" w:rsidR="00B91DDB" w:rsidRDefault="00B91DDB" w:rsidP="00B91DDB">
      <w:pPr>
        <w:spacing w:line="360" w:lineRule="auto"/>
        <w:jc w:val="both"/>
        <w:rPr>
          <w:rFonts w:asciiTheme="minorHAnsi" w:hAnsiTheme="minorHAnsi" w:cstheme="minorHAnsi"/>
          <w:b/>
          <w:bCs/>
          <w:sz w:val="22"/>
          <w:szCs w:val="22"/>
          <w:lang w:val="es-ES"/>
        </w:rPr>
      </w:pPr>
      <w:r>
        <w:rPr>
          <w:rFonts w:asciiTheme="minorHAnsi" w:hAnsiTheme="minorHAnsi" w:cstheme="minorHAnsi"/>
          <w:b/>
          <w:bCs/>
          <w:sz w:val="22"/>
          <w:szCs w:val="22"/>
          <w:lang w:val="es-ES"/>
        </w:rPr>
        <w:t>Reseña profesional</w:t>
      </w:r>
    </w:p>
    <w:p w14:paraId="3F7FDA3D" w14:textId="60C5C44A" w:rsidR="00B91DDB" w:rsidRPr="00386322" w:rsidRDefault="00386322" w:rsidP="00386322">
      <w:pPr>
        <w:spacing w:line="360" w:lineRule="auto"/>
        <w:jc w:val="both"/>
        <w:rPr>
          <w:rFonts w:asciiTheme="minorHAnsi" w:hAnsiTheme="minorHAnsi" w:cstheme="minorHAnsi"/>
          <w:sz w:val="22"/>
          <w:szCs w:val="22"/>
          <w:lang w:val="es-ES"/>
        </w:rPr>
      </w:pPr>
      <w:r w:rsidRPr="00386322">
        <w:rPr>
          <w:rFonts w:asciiTheme="minorHAnsi" w:hAnsiTheme="minorHAnsi" w:cstheme="minorHAnsi"/>
          <w:sz w:val="22"/>
          <w:szCs w:val="22"/>
          <w:lang w:val="es-ES"/>
        </w:rPr>
        <w:t xml:space="preserve">Ingeniero de Minas con Maestría en Regulación, Gestión y Economía Minera y especialización en Ingeniería Geotécnica. Cuento con sólida experiencia en la gestión de relaves y </w:t>
      </w:r>
      <w:proofErr w:type="spellStart"/>
      <w:r w:rsidRPr="00386322">
        <w:rPr>
          <w:rFonts w:asciiTheme="minorHAnsi" w:hAnsiTheme="minorHAnsi" w:cstheme="minorHAnsi"/>
          <w:sz w:val="22"/>
          <w:szCs w:val="22"/>
          <w:lang w:val="es-ES"/>
        </w:rPr>
        <w:t>desmonteras</w:t>
      </w:r>
      <w:proofErr w:type="spellEnd"/>
      <w:r w:rsidRPr="00386322">
        <w:rPr>
          <w:rFonts w:asciiTheme="minorHAnsi" w:hAnsiTheme="minorHAnsi" w:cstheme="minorHAnsi"/>
          <w:sz w:val="22"/>
          <w:szCs w:val="22"/>
          <w:lang w:val="es-ES"/>
        </w:rPr>
        <w:t xml:space="preserve">, implementación de estándares internacionales como el GISTM, y liderazgo de proyectos en el sector minero. He trabajado tanto en consultoría geotécnica como en operaciones mineras, colaborando en el diseño, monitoreo y supervisión de componentes críticos. Capacitado por la Canadian </w:t>
      </w:r>
      <w:proofErr w:type="spellStart"/>
      <w:r w:rsidRPr="00386322">
        <w:rPr>
          <w:rFonts w:asciiTheme="minorHAnsi" w:hAnsiTheme="minorHAnsi" w:cstheme="minorHAnsi"/>
          <w:sz w:val="22"/>
          <w:szCs w:val="22"/>
          <w:lang w:val="es-ES"/>
        </w:rPr>
        <w:t>Dam</w:t>
      </w:r>
      <w:proofErr w:type="spellEnd"/>
      <w:r w:rsidRPr="00386322">
        <w:rPr>
          <w:rFonts w:asciiTheme="minorHAnsi" w:hAnsiTheme="minorHAnsi" w:cstheme="minorHAnsi"/>
          <w:sz w:val="22"/>
          <w:szCs w:val="22"/>
          <w:lang w:val="es-ES"/>
        </w:rPr>
        <w:t xml:space="preserve"> </w:t>
      </w:r>
      <w:proofErr w:type="spellStart"/>
      <w:r w:rsidRPr="00386322">
        <w:rPr>
          <w:rFonts w:asciiTheme="minorHAnsi" w:hAnsiTheme="minorHAnsi" w:cstheme="minorHAnsi"/>
          <w:sz w:val="22"/>
          <w:szCs w:val="22"/>
          <w:lang w:val="es-ES"/>
        </w:rPr>
        <w:t>Association</w:t>
      </w:r>
      <w:proofErr w:type="spellEnd"/>
      <w:r w:rsidRPr="00386322">
        <w:rPr>
          <w:rFonts w:asciiTheme="minorHAnsi" w:hAnsiTheme="minorHAnsi" w:cstheme="minorHAnsi"/>
          <w:sz w:val="22"/>
          <w:szCs w:val="22"/>
          <w:lang w:val="es-ES"/>
        </w:rPr>
        <w:t xml:space="preserve"> (CDA) y con publicaciones técnicas sobre relaves.</w:t>
      </w:r>
    </w:p>
    <w:sectPr w:rsidR="00B91DDB" w:rsidRPr="003863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1A7"/>
    <w:multiLevelType w:val="hybridMultilevel"/>
    <w:tmpl w:val="58F638A8"/>
    <w:lvl w:ilvl="0" w:tplc="47945D00">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9976DF"/>
    <w:multiLevelType w:val="multilevel"/>
    <w:tmpl w:val="30C2CF38"/>
    <w:lvl w:ilvl="0">
      <w:start w:val="1"/>
      <w:numFmt w:val="decimal"/>
      <w:pStyle w:val="Ttulo1"/>
      <w:lvlText w:val="%1"/>
      <w:lvlJc w:val="left"/>
      <w:pPr>
        <w:tabs>
          <w:tab w:val="num" w:pos="720"/>
        </w:tabs>
        <w:ind w:left="720" w:hanging="720"/>
      </w:pPr>
      <w:rPr>
        <w:rFonts w:hint="default"/>
      </w:rPr>
    </w:lvl>
    <w:lvl w:ilvl="1">
      <w:start w:val="1"/>
      <w:numFmt w:val="decimal"/>
      <w:pStyle w:val="Ttulo2"/>
      <w:lvlText w:val="%1.%2"/>
      <w:lvlJc w:val="left"/>
      <w:pPr>
        <w:tabs>
          <w:tab w:val="num" w:pos="720"/>
        </w:tabs>
        <w:ind w:left="720" w:hanging="720"/>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10334E8"/>
    <w:multiLevelType w:val="hybridMultilevel"/>
    <w:tmpl w:val="CB74DB74"/>
    <w:lvl w:ilvl="0" w:tplc="8D06AEEC">
      <w:start w:val="1"/>
      <w:numFmt w:val="decimal"/>
      <w:pStyle w:val="Number1"/>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403C6FBF"/>
    <w:multiLevelType w:val="hybridMultilevel"/>
    <w:tmpl w:val="FC726CBC"/>
    <w:lvl w:ilvl="0" w:tplc="008EA590">
      <w:start w:val="1"/>
      <w:numFmt w:val="bullet"/>
      <w:pStyle w:val="Bullet1"/>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1F1F07"/>
    <w:multiLevelType w:val="hybridMultilevel"/>
    <w:tmpl w:val="1A407C2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597940D4"/>
    <w:multiLevelType w:val="hybridMultilevel"/>
    <w:tmpl w:val="24D2E532"/>
    <w:lvl w:ilvl="0" w:tplc="74F6933A">
      <w:start w:val="1"/>
      <w:numFmt w:val="bullet"/>
      <w:pStyle w:val="Bullet2"/>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6" w15:restartNumberingAfterBreak="0">
    <w:nsid w:val="5E3B3A2C"/>
    <w:multiLevelType w:val="hybridMultilevel"/>
    <w:tmpl w:val="B44ECB3E"/>
    <w:lvl w:ilvl="0" w:tplc="62D4F3CE">
      <w:start w:val="1"/>
      <w:numFmt w:val="lowerLetter"/>
      <w:pStyle w:val="Number2"/>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5F3661CA"/>
    <w:multiLevelType w:val="multilevel"/>
    <w:tmpl w:val="DD9C6E88"/>
    <w:lvl w:ilvl="0">
      <w:start w:val="1"/>
      <w:numFmt w:val="decimal"/>
      <w:pStyle w:val="Appendixtitle1"/>
      <w:lvlText w:val="%1"/>
      <w:lvlJc w:val="left"/>
      <w:pPr>
        <w:tabs>
          <w:tab w:val="num" w:pos="720"/>
        </w:tabs>
        <w:ind w:left="720" w:hanging="720"/>
      </w:pPr>
      <w:rPr>
        <w:rFonts w:hint="default"/>
      </w:rPr>
    </w:lvl>
    <w:lvl w:ilvl="1">
      <w:start w:val="1"/>
      <w:numFmt w:val="decimal"/>
      <w:pStyle w:val="Appendixtitle2"/>
      <w:lvlText w:val="%1.%2"/>
      <w:lvlJc w:val="left"/>
      <w:pPr>
        <w:tabs>
          <w:tab w:val="num" w:pos="720"/>
        </w:tabs>
        <w:ind w:left="720" w:hanging="720"/>
      </w:pPr>
      <w:rPr>
        <w:rFonts w:hint="default"/>
      </w:rPr>
    </w:lvl>
    <w:lvl w:ilvl="2">
      <w:start w:val="1"/>
      <w:numFmt w:val="decimal"/>
      <w:pStyle w:val="Appendixtitle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39097188">
    <w:abstractNumId w:val="1"/>
  </w:num>
  <w:num w:numId="2" w16cid:durableId="1796290676">
    <w:abstractNumId w:val="7"/>
  </w:num>
  <w:num w:numId="3" w16cid:durableId="1466698895">
    <w:abstractNumId w:val="7"/>
  </w:num>
  <w:num w:numId="4" w16cid:durableId="1404639303">
    <w:abstractNumId w:val="1"/>
  </w:num>
  <w:num w:numId="5" w16cid:durableId="2135824773">
    <w:abstractNumId w:val="7"/>
  </w:num>
  <w:num w:numId="6" w16cid:durableId="1265920744">
    <w:abstractNumId w:val="3"/>
  </w:num>
  <w:num w:numId="7" w16cid:durableId="857277265">
    <w:abstractNumId w:val="5"/>
  </w:num>
  <w:num w:numId="8" w16cid:durableId="915287308">
    <w:abstractNumId w:val="2"/>
  </w:num>
  <w:num w:numId="9" w16cid:durableId="1347946634">
    <w:abstractNumId w:val="6"/>
  </w:num>
  <w:num w:numId="10" w16cid:durableId="1063603795">
    <w:abstractNumId w:val="1"/>
  </w:num>
  <w:num w:numId="11" w16cid:durableId="1926526127">
    <w:abstractNumId w:val="1"/>
  </w:num>
  <w:num w:numId="12" w16cid:durableId="1723168469">
    <w:abstractNumId w:val="7"/>
  </w:num>
  <w:num w:numId="13" w16cid:durableId="1506936024">
    <w:abstractNumId w:val="7"/>
  </w:num>
  <w:num w:numId="14" w16cid:durableId="2076273911">
    <w:abstractNumId w:val="1"/>
  </w:num>
  <w:num w:numId="15" w16cid:durableId="1330408011">
    <w:abstractNumId w:val="7"/>
  </w:num>
  <w:num w:numId="16" w16cid:durableId="1732583383">
    <w:abstractNumId w:val="3"/>
  </w:num>
  <w:num w:numId="17" w16cid:durableId="2097552513">
    <w:abstractNumId w:val="5"/>
  </w:num>
  <w:num w:numId="18" w16cid:durableId="646476697">
    <w:abstractNumId w:val="2"/>
  </w:num>
  <w:num w:numId="19" w16cid:durableId="1555309328">
    <w:abstractNumId w:val="6"/>
  </w:num>
  <w:num w:numId="20" w16cid:durableId="780690946">
    <w:abstractNumId w:val="1"/>
  </w:num>
  <w:num w:numId="21" w16cid:durableId="181668754">
    <w:abstractNumId w:val="0"/>
  </w:num>
  <w:num w:numId="22" w16cid:durableId="1121415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73"/>
    <w:rsid w:val="00012D69"/>
    <w:rsid w:val="00036CBD"/>
    <w:rsid w:val="000701C1"/>
    <w:rsid w:val="00081C71"/>
    <w:rsid w:val="0019149C"/>
    <w:rsid w:val="001E1F73"/>
    <w:rsid w:val="003575B1"/>
    <w:rsid w:val="00386322"/>
    <w:rsid w:val="00394FB0"/>
    <w:rsid w:val="004059F6"/>
    <w:rsid w:val="004214BB"/>
    <w:rsid w:val="00421BF3"/>
    <w:rsid w:val="004309B7"/>
    <w:rsid w:val="00575F01"/>
    <w:rsid w:val="00613FD9"/>
    <w:rsid w:val="007453DD"/>
    <w:rsid w:val="00756B44"/>
    <w:rsid w:val="008B0200"/>
    <w:rsid w:val="00B801D1"/>
    <w:rsid w:val="00B91DDB"/>
    <w:rsid w:val="00BB1248"/>
    <w:rsid w:val="00C27817"/>
    <w:rsid w:val="00C96201"/>
    <w:rsid w:val="00D051E7"/>
    <w:rsid w:val="00D35898"/>
    <w:rsid w:val="00D66BB3"/>
    <w:rsid w:val="00DE02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E536"/>
  <w15:chartTrackingRefBased/>
  <w15:docId w15:val="{14A28E6D-276A-4FD6-8D0B-C1D69BFB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6201"/>
    <w:pPr>
      <w:spacing w:after="0" w:line="240" w:lineRule="auto"/>
    </w:pPr>
    <w:rPr>
      <w:rFonts w:ascii="Arial" w:hAnsi="Arial" w:cs="Times New Roman"/>
      <w:sz w:val="20"/>
      <w:szCs w:val="20"/>
      <w:lang w:val="en-US"/>
    </w:rPr>
  </w:style>
  <w:style w:type="paragraph" w:styleId="Ttulo1">
    <w:name w:val="heading 1"/>
    <w:basedOn w:val="Textoindentado"/>
    <w:next w:val="Ttulo2"/>
    <w:link w:val="Ttulo1Car"/>
    <w:qFormat/>
    <w:rsid w:val="00C96201"/>
    <w:pPr>
      <w:keepNext/>
      <w:numPr>
        <w:numId w:val="20"/>
      </w:numPr>
      <w:spacing w:before="240"/>
      <w:outlineLvl w:val="0"/>
    </w:pPr>
    <w:rPr>
      <w:rFonts w:cs="Arial"/>
      <w:b/>
      <w:sz w:val="36"/>
    </w:rPr>
  </w:style>
  <w:style w:type="paragraph" w:styleId="Ttulo2">
    <w:name w:val="heading 2"/>
    <w:basedOn w:val="Textoindentado"/>
    <w:next w:val="Textoindentado"/>
    <w:link w:val="Ttulo2Car"/>
    <w:qFormat/>
    <w:rsid w:val="00C96201"/>
    <w:pPr>
      <w:keepNext/>
      <w:numPr>
        <w:ilvl w:val="1"/>
        <w:numId w:val="20"/>
      </w:numPr>
      <w:spacing w:after="60"/>
      <w:outlineLvl w:val="1"/>
    </w:pPr>
    <w:rPr>
      <w:b/>
      <w:sz w:val="28"/>
    </w:rPr>
  </w:style>
  <w:style w:type="paragraph" w:styleId="Ttulo3">
    <w:name w:val="heading 3"/>
    <w:basedOn w:val="Textoindependiente"/>
    <w:next w:val="Textoindentado"/>
    <w:link w:val="Ttulo3Car"/>
    <w:qFormat/>
    <w:rsid w:val="00C96201"/>
    <w:pPr>
      <w:keepNext/>
      <w:numPr>
        <w:ilvl w:val="2"/>
        <w:numId w:val="20"/>
      </w:numPr>
      <w:spacing w:after="60"/>
      <w:outlineLvl w:val="2"/>
    </w:pPr>
    <w:rPr>
      <w:rFonts w:cs="Arial"/>
      <w:sz w:val="24"/>
      <w:lang w:eastAsia="es-AR"/>
    </w:rPr>
  </w:style>
  <w:style w:type="paragraph" w:styleId="Ttulo4">
    <w:name w:val="heading 4"/>
    <w:basedOn w:val="Textoindentado"/>
    <w:next w:val="Textoindentado"/>
    <w:link w:val="Ttulo4Car"/>
    <w:qFormat/>
    <w:rsid w:val="00C96201"/>
    <w:pPr>
      <w:keepNext/>
      <w:outlineLvl w:val="3"/>
    </w:pPr>
    <w:rPr>
      <w:b/>
      <w:bCs/>
      <w:i/>
      <w:sz w:val="22"/>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ddressblock">
    <w:name w:val="Addressblock"/>
    <w:basedOn w:val="Normal"/>
    <w:qFormat/>
    <w:rsid w:val="00C96201"/>
    <w:pPr>
      <w:spacing w:line="288" w:lineRule="auto"/>
    </w:pPr>
    <w:rPr>
      <w:rFonts w:cs="Arial"/>
      <w:color w:val="7F7F7F"/>
      <w:sz w:val="13"/>
    </w:rPr>
  </w:style>
  <w:style w:type="paragraph" w:customStyle="1" w:styleId="Addressblockbold">
    <w:name w:val="Addressblock bold"/>
    <w:basedOn w:val="Normal"/>
    <w:qFormat/>
    <w:rsid w:val="00C96201"/>
    <w:pPr>
      <w:spacing w:line="288" w:lineRule="auto"/>
    </w:pPr>
    <w:rPr>
      <w:rFonts w:cs="Arial"/>
      <w:b/>
      <w:bCs/>
      <w:color w:val="808080"/>
      <w:sz w:val="14"/>
      <w:szCs w:val="12"/>
    </w:rPr>
  </w:style>
  <w:style w:type="paragraph" w:customStyle="1" w:styleId="Appendices">
    <w:name w:val="Appendices"/>
    <w:qFormat/>
    <w:rsid w:val="00C96201"/>
    <w:pPr>
      <w:spacing w:before="3600" w:after="0" w:line="240" w:lineRule="auto"/>
      <w:jc w:val="center"/>
    </w:pPr>
    <w:rPr>
      <w:rFonts w:ascii="Arial" w:hAnsi="Arial" w:cs="Times New Roman"/>
      <w:b/>
      <w:sz w:val="44"/>
      <w:szCs w:val="36"/>
      <w:lang w:val="en-CA"/>
    </w:rPr>
  </w:style>
  <w:style w:type="paragraph" w:styleId="Textoindependiente">
    <w:name w:val="Body Text"/>
    <w:basedOn w:val="Normal"/>
    <w:link w:val="TextoindependienteCar"/>
    <w:qFormat/>
    <w:rsid w:val="00C96201"/>
    <w:pPr>
      <w:spacing w:before="120" w:after="120"/>
    </w:pPr>
  </w:style>
  <w:style w:type="character" w:customStyle="1" w:styleId="TextoindependienteCar">
    <w:name w:val="Texto independiente Car"/>
    <w:link w:val="Textoindependiente"/>
    <w:rsid w:val="00C96201"/>
    <w:rPr>
      <w:rFonts w:ascii="Arial" w:hAnsi="Arial" w:cs="Times New Roman"/>
      <w:noProof/>
      <w:sz w:val="20"/>
      <w:szCs w:val="20"/>
      <w:lang w:val="es-ES_tradnl"/>
    </w:rPr>
  </w:style>
  <w:style w:type="paragraph" w:customStyle="1" w:styleId="AppendixHeading">
    <w:name w:val="Appendix Heading"/>
    <w:basedOn w:val="Textoindependiente"/>
    <w:next w:val="Textoindependiente"/>
    <w:qFormat/>
    <w:rsid w:val="00C96201"/>
    <w:pPr>
      <w:spacing w:before="3600"/>
      <w:jc w:val="center"/>
    </w:pPr>
    <w:rPr>
      <w:b/>
      <w:sz w:val="36"/>
      <w:szCs w:val="32"/>
    </w:rPr>
  </w:style>
  <w:style w:type="paragraph" w:customStyle="1" w:styleId="Textoindentado">
    <w:name w:val="Texto indentado"/>
    <w:basedOn w:val="Textoindependiente"/>
    <w:qFormat/>
    <w:rsid w:val="00C96201"/>
    <w:pPr>
      <w:ind w:left="720"/>
    </w:pPr>
  </w:style>
  <w:style w:type="character" w:customStyle="1" w:styleId="Ttulo1Car">
    <w:name w:val="Título 1 Car"/>
    <w:link w:val="Ttulo1"/>
    <w:rsid w:val="00C96201"/>
    <w:rPr>
      <w:rFonts w:ascii="Arial" w:hAnsi="Arial" w:cs="Arial"/>
      <w:b/>
      <w:noProof/>
      <w:sz w:val="36"/>
      <w:szCs w:val="20"/>
      <w:lang w:val="es-ES_tradnl"/>
    </w:rPr>
  </w:style>
  <w:style w:type="character" w:customStyle="1" w:styleId="Ttulo2Car">
    <w:name w:val="Título 2 Car"/>
    <w:link w:val="Ttulo2"/>
    <w:rsid w:val="00C96201"/>
    <w:rPr>
      <w:rFonts w:ascii="Arial" w:hAnsi="Arial" w:cs="Times New Roman"/>
      <w:b/>
      <w:noProof/>
      <w:sz w:val="28"/>
      <w:szCs w:val="20"/>
      <w:lang w:val="es-ES_tradnl"/>
    </w:rPr>
  </w:style>
  <w:style w:type="paragraph" w:customStyle="1" w:styleId="Appendixtitle1">
    <w:name w:val="Appendix title 1"/>
    <w:basedOn w:val="Ttulo1"/>
    <w:next w:val="Textoindentado"/>
    <w:rsid w:val="00C96201"/>
    <w:pPr>
      <w:numPr>
        <w:numId w:val="15"/>
      </w:numPr>
    </w:pPr>
  </w:style>
  <w:style w:type="paragraph" w:customStyle="1" w:styleId="Appendixtitle2">
    <w:name w:val="Appendix title 2"/>
    <w:basedOn w:val="Appendixtitle1"/>
    <w:next w:val="Textoindentado"/>
    <w:qFormat/>
    <w:rsid w:val="00C96201"/>
    <w:pPr>
      <w:numPr>
        <w:ilvl w:val="1"/>
      </w:numPr>
    </w:pPr>
    <w:rPr>
      <w:sz w:val="32"/>
    </w:rPr>
  </w:style>
  <w:style w:type="character" w:customStyle="1" w:styleId="Ttulo3Car">
    <w:name w:val="Título 3 Car"/>
    <w:link w:val="Ttulo3"/>
    <w:rsid w:val="00C96201"/>
    <w:rPr>
      <w:rFonts w:ascii="Arial" w:hAnsi="Arial" w:cs="Arial"/>
      <w:noProof/>
      <w:sz w:val="24"/>
      <w:szCs w:val="20"/>
      <w:lang w:val="es-ES_tradnl" w:eastAsia="es-AR"/>
    </w:rPr>
  </w:style>
  <w:style w:type="paragraph" w:customStyle="1" w:styleId="Appendixtitle3">
    <w:name w:val="Appendix title 3"/>
    <w:basedOn w:val="Ttulo3"/>
    <w:next w:val="Textoindentado"/>
    <w:rsid w:val="00C96201"/>
    <w:pPr>
      <w:numPr>
        <w:numId w:val="15"/>
      </w:numPr>
    </w:pPr>
  </w:style>
  <w:style w:type="paragraph" w:customStyle="1" w:styleId="BodyTextBox">
    <w:name w:val="Body Text Box"/>
    <w:basedOn w:val="Textoindependiente"/>
    <w:next w:val="Textoindependiente"/>
    <w:qFormat/>
    <w:rsid w:val="00C96201"/>
    <w:pPr>
      <w:pBdr>
        <w:top w:val="single" w:sz="4" w:space="6" w:color="auto"/>
        <w:left w:val="single" w:sz="4" w:space="6" w:color="auto"/>
        <w:bottom w:val="single" w:sz="4" w:space="6" w:color="auto"/>
        <w:right w:val="single" w:sz="4" w:space="6" w:color="auto"/>
      </w:pBdr>
      <w:ind w:left="720"/>
    </w:pPr>
    <w:rPr>
      <w:rFonts w:cs="Arial"/>
      <w:b/>
      <w:bCs/>
    </w:rPr>
  </w:style>
  <w:style w:type="paragraph" w:customStyle="1" w:styleId="Bullet1">
    <w:name w:val="Bullet 1"/>
    <w:basedOn w:val="Textoindependiente"/>
    <w:qFormat/>
    <w:rsid w:val="00C96201"/>
    <w:pPr>
      <w:numPr>
        <w:numId w:val="16"/>
      </w:numPr>
      <w:contextualSpacing/>
    </w:pPr>
  </w:style>
  <w:style w:type="paragraph" w:customStyle="1" w:styleId="Bullet2">
    <w:name w:val="Bullet 2"/>
    <w:basedOn w:val="Normal"/>
    <w:qFormat/>
    <w:rsid w:val="00C96201"/>
    <w:pPr>
      <w:numPr>
        <w:numId w:val="17"/>
      </w:numPr>
      <w:tabs>
        <w:tab w:val="left" w:pos="1440"/>
      </w:tabs>
      <w:contextualSpacing/>
    </w:pPr>
  </w:style>
  <w:style w:type="paragraph" w:customStyle="1" w:styleId="CaptionAppendix">
    <w:name w:val="Caption Appendix"/>
    <w:rsid w:val="00C96201"/>
    <w:pPr>
      <w:spacing w:after="360" w:line="240" w:lineRule="auto"/>
      <w:jc w:val="center"/>
    </w:pPr>
    <w:rPr>
      <w:rFonts w:ascii="Arial" w:hAnsi="Arial" w:cs="Arial"/>
      <w:sz w:val="32"/>
      <w:lang w:val="en-AU"/>
    </w:rPr>
  </w:style>
  <w:style w:type="paragraph" w:customStyle="1" w:styleId="PrelimHead2">
    <w:name w:val="Prelim Head 2"/>
    <w:basedOn w:val="Textoindependiente"/>
    <w:next w:val="Textoindependiente"/>
    <w:qFormat/>
    <w:rsid w:val="00C96201"/>
    <w:pPr>
      <w:spacing w:before="240"/>
      <w:ind w:left="709"/>
    </w:pPr>
    <w:rPr>
      <w:b/>
      <w:bCs/>
      <w:sz w:val="36"/>
    </w:rPr>
  </w:style>
  <w:style w:type="paragraph" w:customStyle="1" w:styleId="Contents">
    <w:name w:val="Contents"/>
    <w:basedOn w:val="PrelimHead2"/>
    <w:next w:val="Textoindentado"/>
    <w:qFormat/>
    <w:rsid w:val="00C96201"/>
  </w:style>
  <w:style w:type="paragraph" w:customStyle="1" w:styleId="Cover1">
    <w:name w:val="Cover 1"/>
    <w:basedOn w:val="Textoindependiente"/>
    <w:next w:val="Textoindependiente"/>
    <w:qFormat/>
    <w:rsid w:val="00C96201"/>
    <w:pPr>
      <w:spacing w:before="240"/>
    </w:pPr>
    <w:rPr>
      <w:b/>
      <w:bCs/>
      <w:sz w:val="48"/>
    </w:rPr>
  </w:style>
  <w:style w:type="paragraph" w:customStyle="1" w:styleId="Cover2">
    <w:name w:val="Cover 2"/>
    <w:basedOn w:val="Cover1"/>
    <w:next w:val="Textoindependiente"/>
    <w:qFormat/>
    <w:rsid w:val="00C96201"/>
    <w:rPr>
      <w:sz w:val="36"/>
    </w:rPr>
  </w:style>
  <w:style w:type="paragraph" w:customStyle="1" w:styleId="Cover3">
    <w:name w:val="Cover 3"/>
    <w:basedOn w:val="Cover1"/>
    <w:next w:val="Textoindependiente"/>
    <w:qFormat/>
    <w:rsid w:val="00C96201"/>
    <w:pPr>
      <w:spacing w:before="120"/>
    </w:pPr>
    <w:rPr>
      <w:bCs w:val="0"/>
      <w:sz w:val="24"/>
    </w:rPr>
  </w:style>
  <w:style w:type="paragraph" w:customStyle="1" w:styleId="Cover4">
    <w:name w:val="Cover 4"/>
    <w:basedOn w:val="Cover3"/>
    <w:rsid w:val="00C96201"/>
    <w:pPr>
      <w:spacing w:before="240" w:after="0" w:line="264" w:lineRule="auto"/>
      <w:contextualSpacing/>
    </w:pPr>
    <w:rPr>
      <w:b w:val="0"/>
      <w:sz w:val="20"/>
      <w:lang w:val="en-CA"/>
    </w:rPr>
  </w:style>
  <w:style w:type="paragraph" w:styleId="Descripcin">
    <w:name w:val="caption"/>
    <w:aliases w:val="Figure &amp; Table"/>
    <w:basedOn w:val="Textoindentado"/>
    <w:next w:val="Textoindentado"/>
    <w:qFormat/>
    <w:rsid w:val="00C96201"/>
    <w:pPr>
      <w:ind w:left="1872" w:hanging="1152"/>
    </w:pPr>
    <w:rPr>
      <w:b/>
      <w:bCs/>
    </w:rPr>
  </w:style>
  <w:style w:type="paragraph" w:customStyle="1" w:styleId="Sourcecaption">
    <w:name w:val="Source caption"/>
    <w:basedOn w:val="Textoindependiente"/>
    <w:link w:val="SourcecaptionChar"/>
    <w:rsid w:val="00C96201"/>
    <w:pPr>
      <w:spacing w:before="40"/>
      <w:ind w:left="720"/>
    </w:pPr>
    <w:rPr>
      <w:b/>
      <w:sz w:val="18"/>
      <w:szCs w:val="16"/>
    </w:rPr>
  </w:style>
  <w:style w:type="character" w:customStyle="1" w:styleId="SourcecaptionChar">
    <w:name w:val="Source caption Char"/>
    <w:link w:val="Sourcecaption"/>
    <w:rsid w:val="00C96201"/>
    <w:rPr>
      <w:rFonts w:ascii="Arial" w:hAnsi="Arial" w:cs="Times New Roman"/>
      <w:b/>
      <w:noProof/>
      <w:sz w:val="18"/>
      <w:szCs w:val="16"/>
      <w:lang w:val="es-ES_tradnl"/>
    </w:rPr>
  </w:style>
  <w:style w:type="paragraph" w:customStyle="1" w:styleId="Descripcin1">
    <w:name w:val="Descripción1"/>
    <w:basedOn w:val="Sourcecaption"/>
    <w:qFormat/>
    <w:rsid w:val="00C96201"/>
    <w:rPr>
      <w:sz w:val="20"/>
    </w:rPr>
  </w:style>
  <w:style w:type="paragraph" w:styleId="Encabezado">
    <w:name w:val="header"/>
    <w:basedOn w:val="Textoindentado"/>
    <w:link w:val="EncabezadoCar"/>
    <w:qFormat/>
    <w:rsid w:val="00C96201"/>
    <w:pPr>
      <w:pBdr>
        <w:bottom w:val="single" w:sz="6" w:space="1" w:color="auto"/>
      </w:pBdr>
      <w:tabs>
        <w:tab w:val="center" w:pos="4824"/>
        <w:tab w:val="right" w:pos="9648"/>
      </w:tabs>
    </w:pPr>
    <w:rPr>
      <w:rFonts w:cs="Arial"/>
      <w:sz w:val="16"/>
    </w:rPr>
  </w:style>
  <w:style w:type="character" w:customStyle="1" w:styleId="EncabezadoCar">
    <w:name w:val="Encabezado Car"/>
    <w:link w:val="Encabezado"/>
    <w:rsid w:val="00C96201"/>
    <w:rPr>
      <w:rFonts w:ascii="Arial" w:hAnsi="Arial" w:cs="Arial"/>
      <w:noProof/>
      <w:sz w:val="16"/>
      <w:szCs w:val="20"/>
      <w:lang w:val="es-ES_tradnl"/>
    </w:rPr>
  </w:style>
  <w:style w:type="paragraph" w:customStyle="1" w:styleId="FlyHead1">
    <w:name w:val="Fly Head 1"/>
    <w:basedOn w:val="Textoindependiente"/>
    <w:next w:val="Textoindependiente"/>
    <w:qFormat/>
    <w:rsid w:val="00C96201"/>
    <w:pPr>
      <w:spacing w:before="240"/>
      <w:ind w:left="709"/>
    </w:pPr>
    <w:rPr>
      <w:rFonts w:cs="Arial"/>
      <w:b/>
      <w:bCs/>
      <w:sz w:val="40"/>
    </w:rPr>
  </w:style>
  <w:style w:type="paragraph" w:customStyle="1" w:styleId="FlyHead2">
    <w:name w:val="Fly Head 2"/>
    <w:basedOn w:val="FlyHead1"/>
    <w:next w:val="Textoindependiente"/>
    <w:qFormat/>
    <w:rsid w:val="00C96201"/>
    <w:rPr>
      <w:sz w:val="28"/>
    </w:rPr>
  </w:style>
  <w:style w:type="paragraph" w:customStyle="1" w:styleId="FlyHead3">
    <w:name w:val="Fly Head 3"/>
    <w:basedOn w:val="FlyHead1"/>
    <w:next w:val="Textoindependiente"/>
    <w:qFormat/>
    <w:rsid w:val="00C96201"/>
    <w:pPr>
      <w:keepNext/>
      <w:tabs>
        <w:tab w:val="left" w:pos="-720"/>
      </w:tabs>
      <w:spacing w:before="0" w:after="0"/>
      <w:ind w:left="1440" w:hanging="720"/>
      <w:outlineLvl w:val="1"/>
    </w:pPr>
    <w:rPr>
      <w:bCs w:val="0"/>
      <w:sz w:val="24"/>
    </w:rPr>
  </w:style>
  <w:style w:type="paragraph" w:customStyle="1" w:styleId="FlyHead4">
    <w:name w:val="Fly Head 4"/>
    <w:basedOn w:val="FlyHead3"/>
    <w:rsid w:val="00C96201"/>
    <w:rPr>
      <w:b w:val="0"/>
    </w:rPr>
  </w:style>
  <w:style w:type="character" w:styleId="Hipervnculo">
    <w:name w:val="Hyperlink"/>
    <w:unhideWhenUsed/>
    <w:rsid w:val="00C96201"/>
    <w:rPr>
      <w:color w:val="0000FF"/>
      <w:u w:val="single"/>
    </w:rPr>
  </w:style>
  <w:style w:type="character" w:styleId="Mencionar">
    <w:name w:val="Mention"/>
    <w:basedOn w:val="Fuentedeprrafopredeter"/>
    <w:uiPriority w:val="99"/>
    <w:semiHidden/>
    <w:unhideWhenUsed/>
    <w:rsid w:val="00C96201"/>
    <w:rPr>
      <w:color w:val="2B579A"/>
      <w:shd w:val="clear" w:color="auto" w:fill="E6E6E6"/>
    </w:rPr>
  </w:style>
  <w:style w:type="paragraph" w:customStyle="1" w:styleId="Number1">
    <w:name w:val="Number 1"/>
    <w:basedOn w:val="Normal"/>
    <w:qFormat/>
    <w:rsid w:val="00C96201"/>
    <w:pPr>
      <w:numPr>
        <w:numId w:val="18"/>
      </w:numPr>
      <w:spacing w:before="120"/>
      <w:contextualSpacing/>
    </w:pPr>
  </w:style>
  <w:style w:type="paragraph" w:customStyle="1" w:styleId="Number2">
    <w:name w:val="Number 2"/>
    <w:basedOn w:val="Normal"/>
    <w:qFormat/>
    <w:rsid w:val="00C96201"/>
    <w:pPr>
      <w:numPr>
        <w:numId w:val="19"/>
      </w:numPr>
    </w:pPr>
  </w:style>
  <w:style w:type="paragraph" w:customStyle="1" w:styleId="Paragraphhead">
    <w:name w:val="Paragraph head"/>
    <w:basedOn w:val="Textoindependiente"/>
    <w:next w:val="Textoindependiente"/>
    <w:rsid w:val="00C96201"/>
    <w:pPr>
      <w:ind w:left="720"/>
    </w:pPr>
    <w:rPr>
      <w:b/>
    </w:rPr>
  </w:style>
  <w:style w:type="paragraph" w:styleId="Piedepgina">
    <w:name w:val="footer"/>
    <w:basedOn w:val="Textoindependiente"/>
    <w:link w:val="PiedepginaCar"/>
    <w:qFormat/>
    <w:rsid w:val="00C96201"/>
    <w:pPr>
      <w:pBdr>
        <w:top w:val="single" w:sz="6" w:space="1" w:color="auto"/>
      </w:pBdr>
      <w:tabs>
        <w:tab w:val="center" w:pos="4824"/>
        <w:tab w:val="right" w:pos="9648"/>
      </w:tabs>
    </w:pPr>
    <w:rPr>
      <w:sz w:val="12"/>
    </w:rPr>
  </w:style>
  <w:style w:type="character" w:customStyle="1" w:styleId="PiedepginaCar">
    <w:name w:val="Pie de página Car"/>
    <w:link w:val="Piedepgina"/>
    <w:rsid w:val="00C96201"/>
    <w:rPr>
      <w:rFonts w:ascii="Arial" w:hAnsi="Arial" w:cs="Times New Roman"/>
      <w:noProof/>
      <w:sz w:val="12"/>
      <w:szCs w:val="20"/>
      <w:lang w:val="es-ES_tradnl"/>
    </w:rPr>
  </w:style>
  <w:style w:type="paragraph" w:customStyle="1" w:styleId="PrelimHead3">
    <w:name w:val="Prelim Head 3"/>
    <w:basedOn w:val="PrelimHead2"/>
    <w:next w:val="Textoindependiente"/>
    <w:qFormat/>
    <w:rsid w:val="00C96201"/>
    <w:rPr>
      <w:rFonts w:cs="Arial"/>
      <w:bCs w:val="0"/>
      <w:sz w:val="28"/>
    </w:rPr>
  </w:style>
  <w:style w:type="character" w:customStyle="1" w:styleId="Ttulo4Car">
    <w:name w:val="Título 4 Car"/>
    <w:link w:val="Ttulo4"/>
    <w:rsid w:val="00C96201"/>
    <w:rPr>
      <w:rFonts w:ascii="Arial" w:hAnsi="Arial" w:cs="Times New Roman"/>
      <w:b/>
      <w:bCs/>
      <w:i/>
      <w:noProof/>
      <w:szCs w:val="28"/>
      <w:lang w:val="es-ES_tradnl"/>
    </w:rPr>
  </w:style>
  <w:style w:type="paragraph" w:customStyle="1" w:styleId="PreparedandReviewed">
    <w:name w:val="Prepared and Reviewed"/>
    <w:basedOn w:val="Ttulo4"/>
    <w:qFormat/>
    <w:rsid w:val="00C96201"/>
    <w:rPr>
      <w:bCs w:val="0"/>
    </w:rPr>
  </w:style>
  <w:style w:type="table" w:styleId="Tablaconcuadrcula">
    <w:name w:val="Table Grid"/>
    <w:basedOn w:val="Tablanormal"/>
    <w:rsid w:val="00C96201"/>
    <w:pPr>
      <w:spacing w:after="0" w:line="240" w:lineRule="auto"/>
    </w:pPr>
    <w:rPr>
      <w:rFonts w:ascii="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Textoindependiente"/>
    <w:next w:val="Textoindependiente"/>
    <w:autoRedefine/>
    <w:uiPriority w:val="99"/>
    <w:rsid w:val="00C96201"/>
    <w:pPr>
      <w:tabs>
        <w:tab w:val="right" w:pos="1418"/>
        <w:tab w:val="right" w:leader="dot" w:pos="9648"/>
      </w:tabs>
      <w:spacing w:before="0"/>
      <w:ind w:left="1985" w:hanging="1247"/>
    </w:pPr>
  </w:style>
  <w:style w:type="paragraph" w:customStyle="1" w:styleId="TableHeading">
    <w:name w:val="TableHeading"/>
    <w:basedOn w:val="Textoindependiente"/>
    <w:next w:val="Normal"/>
    <w:qFormat/>
    <w:rsid w:val="00C96201"/>
    <w:pPr>
      <w:spacing w:before="60" w:after="60"/>
    </w:pPr>
    <w:rPr>
      <w:b/>
    </w:rPr>
  </w:style>
  <w:style w:type="paragraph" w:customStyle="1" w:styleId="TableText">
    <w:name w:val="TableText"/>
    <w:basedOn w:val="Textoindependiente"/>
    <w:qFormat/>
    <w:rsid w:val="00C96201"/>
    <w:pPr>
      <w:spacing w:before="60" w:after="60"/>
      <w:ind w:left="144" w:right="144"/>
    </w:pPr>
    <w:rPr>
      <w:szCs w:val="22"/>
    </w:rPr>
  </w:style>
  <w:style w:type="paragraph" w:styleId="TDC1">
    <w:name w:val="toc 1"/>
    <w:basedOn w:val="Textoindependiente"/>
    <w:next w:val="TDC2"/>
    <w:uiPriority w:val="39"/>
    <w:rsid w:val="00C96201"/>
    <w:pPr>
      <w:tabs>
        <w:tab w:val="left" w:pos="1147"/>
        <w:tab w:val="right" w:leader="dot" w:pos="9648"/>
      </w:tabs>
      <w:spacing w:after="60"/>
      <w:ind w:left="1134" w:hanging="357"/>
    </w:pPr>
    <w:rPr>
      <w:b/>
      <w:sz w:val="24"/>
    </w:rPr>
  </w:style>
  <w:style w:type="paragraph" w:styleId="TDC2">
    <w:name w:val="toc 2"/>
    <w:basedOn w:val="Textoindependiente"/>
    <w:next w:val="Textoindependiente"/>
    <w:uiPriority w:val="39"/>
    <w:rsid w:val="00C96201"/>
    <w:pPr>
      <w:tabs>
        <w:tab w:val="left" w:pos="1290"/>
        <w:tab w:val="left" w:pos="1317"/>
        <w:tab w:val="right" w:leader="dot" w:pos="9648"/>
      </w:tabs>
      <w:spacing w:before="0" w:after="60"/>
      <w:ind w:left="1276" w:hanging="505"/>
    </w:pPr>
    <w:rPr>
      <w:sz w:val="22"/>
    </w:rPr>
  </w:style>
  <w:style w:type="paragraph" w:styleId="TDC3">
    <w:name w:val="toc 3"/>
    <w:basedOn w:val="Textoindependiente"/>
    <w:next w:val="Textoindependiente"/>
    <w:uiPriority w:val="39"/>
    <w:rsid w:val="00C96201"/>
    <w:pPr>
      <w:tabs>
        <w:tab w:val="left" w:pos="1843"/>
        <w:tab w:val="left" w:pos="1880"/>
        <w:tab w:val="right" w:leader="dot" w:pos="9648"/>
      </w:tabs>
      <w:spacing w:before="0" w:after="0"/>
      <w:ind w:left="1842" w:hanging="646"/>
    </w:pPr>
  </w:style>
  <w:style w:type="paragraph" w:styleId="TDC4">
    <w:name w:val="toc 4"/>
    <w:basedOn w:val="Normal"/>
    <w:next w:val="Normal"/>
    <w:autoRedefine/>
    <w:uiPriority w:val="39"/>
    <w:rsid w:val="00C96201"/>
    <w:pPr>
      <w:spacing w:after="100"/>
      <w:ind w:left="600"/>
    </w:pPr>
  </w:style>
  <w:style w:type="paragraph" w:styleId="TDC5">
    <w:name w:val="toc 5"/>
    <w:basedOn w:val="Normal"/>
    <w:next w:val="Normal"/>
    <w:autoRedefine/>
    <w:rsid w:val="00C96201"/>
    <w:pPr>
      <w:ind w:left="800"/>
    </w:pPr>
  </w:style>
  <w:style w:type="paragraph" w:styleId="TDC6">
    <w:name w:val="toc 6"/>
    <w:basedOn w:val="Normal"/>
    <w:next w:val="Normal"/>
    <w:autoRedefine/>
    <w:rsid w:val="00C96201"/>
    <w:pPr>
      <w:ind w:left="1000"/>
    </w:pPr>
  </w:style>
  <w:style w:type="paragraph" w:styleId="TDC7">
    <w:name w:val="toc 7"/>
    <w:basedOn w:val="Normal"/>
    <w:next w:val="Normal"/>
    <w:autoRedefine/>
    <w:rsid w:val="00C96201"/>
    <w:pPr>
      <w:ind w:left="1200"/>
    </w:pPr>
  </w:style>
  <w:style w:type="paragraph" w:styleId="TDC8">
    <w:name w:val="toc 8"/>
    <w:basedOn w:val="Normal"/>
    <w:next w:val="Normal"/>
    <w:autoRedefine/>
    <w:rsid w:val="00C96201"/>
    <w:pPr>
      <w:ind w:left="1400"/>
    </w:pPr>
  </w:style>
  <w:style w:type="paragraph" w:styleId="TDC9">
    <w:name w:val="toc 9"/>
    <w:basedOn w:val="Normal"/>
    <w:next w:val="Normal"/>
    <w:autoRedefine/>
    <w:rsid w:val="00C96201"/>
    <w:pPr>
      <w:spacing w:after="100"/>
      <w:ind w:left="1600"/>
    </w:pPr>
  </w:style>
  <w:style w:type="paragraph" w:styleId="Textodeglobo">
    <w:name w:val="Balloon Text"/>
    <w:basedOn w:val="Normal"/>
    <w:link w:val="TextodegloboCar"/>
    <w:qFormat/>
    <w:rsid w:val="00C96201"/>
    <w:rPr>
      <w:rFonts w:ascii="Lucida Grande" w:hAnsi="Lucida Grande" w:cs="Lucida Grande"/>
      <w:sz w:val="18"/>
      <w:szCs w:val="18"/>
    </w:rPr>
  </w:style>
  <w:style w:type="character" w:customStyle="1" w:styleId="TextodegloboCar">
    <w:name w:val="Texto de globo Car"/>
    <w:link w:val="Textodeglobo"/>
    <w:rsid w:val="00C96201"/>
    <w:rPr>
      <w:rFonts w:ascii="Lucida Grande" w:hAnsi="Lucida Grande" w:cs="Lucida Grande"/>
      <w:noProof/>
      <w:sz w:val="18"/>
      <w:szCs w:val="18"/>
      <w:lang w:val="es-ES_tradnl"/>
    </w:rPr>
  </w:style>
  <w:style w:type="paragraph" w:styleId="Ttulo">
    <w:name w:val="Title"/>
    <w:basedOn w:val="Textoindependiente"/>
    <w:next w:val="Textoindependiente"/>
    <w:link w:val="TtuloCar"/>
    <w:qFormat/>
    <w:rsid w:val="00C96201"/>
    <w:pPr>
      <w:spacing w:before="0" w:after="240"/>
      <w:jc w:val="center"/>
    </w:pPr>
    <w:rPr>
      <w:rFonts w:cs="Arial"/>
      <w:b/>
      <w:iCs/>
      <w:sz w:val="36"/>
      <w:szCs w:val="30"/>
    </w:rPr>
  </w:style>
  <w:style w:type="character" w:customStyle="1" w:styleId="TtuloCar">
    <w:name w:val="Título Car"/>
    <w:link w:val="Ttulo"/>
    <w:rsid w:val="00C96201"/>
    <w:rPr>
      <w:rFonts w:ascii="Arial" w:hAnsi="Arial" w:cs="Arial"/>
      <w:b/>
      <w:iCs/>
      <w:noProof/>
      <w:sz w:val="36"/>
      <w:szCs w:val="30"/>
      <w:lang w:val="es-ES_tradnl"/>
    </w:rPr>
  </w:style>
  <w:style w:type="paragraph" w:styleId="Prrafodelista">
    <w:name w:val="List Paragraph"/>
    <w:basedOn w:val="Normal"/>
    <w:uiPriority w:val="34"/>
    <w:qFormat/>
    <w:rsid w:val="000701C1"/>
    <w:pPr>
      <w:ind w:left="720"/>
      <w:contextualSpacing/>
    </w:pPr>
  </w:style>
  <w:style w:type="character" w:styleId="Mencinsinresolver">
    <w:name w:val="Unresolved Mention"/>
    <w:basedOn w:val="Fuentedeprrafopredeter"/>
    <w:uiPriority w:val="99"/>
    <w:semiHidden/>
    <w:unhideWhenUsed/>
    <w:rsid w:val="00BB1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tony.aguedo@pucp.edu.pe" TargetMode="External"/><Relationship Id="rId5" Type="http://schemas.openxmlformats.org/officeDocument/2006/relationships/hyperlink" Target="mailto:antony.aguedo@pucp.edu.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3</Pages>
  <Words>966</Words>
  <Characters>5153</Characters>
  <Application>Microsoft Office Word</Application>
  <DocSecurity>0</DocSecurity>
  <Lines>156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Aguedo</dc:creator>
  <cp:keywords/>
  <dc:description/>
  <cp:lastModifiedBy>Aguedo A. Antony G.</cp:lastModifiedBy>
  <cp:revision>6</cp:revision>
  <dcterms:created xsi:type="dcterms:W3CDTF">2022-03-22T15:26:00Z</dcterms:created>
  <dcterms:modified xsi:type="dcterms:W3CDTF">2025-05-13T02:14:00Z</dcterms:modified>
</cp:coreProperties>
</file>