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bje1k25hqgik" w:id="0"/>
      <w:bookmarkEnd w:id="0"/>
      <w:r w:rsidDel="00000000" w:rsidR="00000000" w:rsidRPr="00000000">
        <w:rPr>
          <w:rtl w:val="0"/>
        </w:rPr>
        <w:t xml:space="preserve">Tp Integrador Final - Dirección Estratégica Basada en Datos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vqp50rdgdy" w:id="1"/>
      <w:bookmarkEnd w:id="1"/>
      <w:r w:rsidDel="00000000" w:rsidR="00000000" w:rsidRPr="00000000">
        <w:rPr>
          <w:rtl w:val="0"/>
        </w:rPr>
        <w:t xml:space="preserve">Misión</w:t>
      </w:r>
    </w:p>
    <w:p w:rsidR="00000000" w:rsidDel="00000000" w:rsidP="00000000" w:rsidRDefault="00000000" w:rsidRPr="00000000" w14:paraId="00000003">
      <w:pPr>
        <w:spacing w:after="160" w:line="259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Fortalecer las capacidades, confianza, visibilidad y protagonismo como grupo empresarial para impulsar cambios positivos en cada negocio, </w:t>
      </w:r>
      <w:r w:rsidDel="00000000" w:rsidR="00000000" w:rsidRPr="00000000">
        <w:rPr>
          <w:sz w:val="24"/>
          <w:szCs w:val="24"/>
          <w:rtl w:val="0"/>
        </w:rPr>
        <w:t xml:space="preserve">a través de soluciones vanguardistas de análisis de datos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x5grg99il8wn" w:id="2"/>
      <w:bookmarkEnd w:id="2"/>
      <w:r w:rsidDel="00000000" w:rsidR="00000000" w:rsidRPr="00000000">
        <w:rPr>
          <w:rtl w:val="0"/>
        </w:rPr>
        <w:t xml:space="preserve">Visión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Ser la piedra fundamental de cada proyecto, mejora o toma de decisiones, actuando como referente esencial para cada una de las empresas del Holding.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n32bcettpri2" w:id="3"/>
      <w:bookmarkEnd w:id="3"/>
      <w:r w:rsidDel="00000000" w:rsidR="00000000" w:rsidRPr="00000000">
        <w:rPr>
          <w:rtl w:val="0"/>
        </w:rPr>
        <w:t xml:space="preserve">Objetivos del área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Desarrollar e implementar una plataforma tecnológica que permita la centralización de datos de todas las empresas del holding en un plazo de 18 meses.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Identificar y optimizar al menos tres procesos operativos clave en cada empresa del holding utilizando los datos centralizados en un plazo de 24 meses, logrando reducir un 10% los costos operativos.</w:t>
      </w:r>
    </w:p>
    <w:p w:rsidR="00000000" w:rsidDel="00000000" w:rsidP="00000000" w:rsidRDefault="00000000" w:rsidRPr="00000000" w14:paraId="00000009">
      <w:pPr>
        <w:spacing w:after="160" w:line="259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Garantizar que al menos el 90% de los equipos directivos utilicen activamente las herramientas de análisis y visualización de datos en sus procesos de toma de decisiones en un plazo de 30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ehbnf6mjypv7" w:id="4"/>
      <w:bookmarkEnd w:id="4"/>
      <w:r w:rsidDel="00000000" w:rsidR="00000000" w:rsidRPr="00000000">
        <w:rPr>
          <w:rtl w:val="0"/>
        </w:rPr>
        <w:t xml:space="preserve">Objetivos y/o aspiraciones del Plan Estratégico (3 años)</w:t>
      </w:r>
    </w:p>
    <w:p w:rsidR="00000000" w:rsidDel="00000000" w:rsidP="00000000" w:rsidRDefault="00000000" w:rsidRPr="00000000" w14:paraId="0000000B">
      <w:pPr>
        <w:spacing w:after="160" w:line="259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Mejorar el margen de beneficio neto en un 15% mediante la implementación de iniciativas de optimización de costos, aumento de eficiencia operativa y diversificación de fuentes de ingresos en el tercer año.</w:t>
      </w:r>
    </w:p>
    <w:p w:rsidR="00000000" w:rsidDel="00000000" w:rsidP="00000000" w:rsidRDefault="00000000" w:rsidRPr="00000000" w14:paraId="0000000C">
      <w:pPr>
        <w:spacing w:after="160" w:line="259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un incremento del 20% en el volumen de ventas, ya sea en unidades vendidas a través de estrategias de marketing, expansión de canales de distribución y desarrollo de nuevos mercados potenciando los negocios de cada una de las empresas del holding en el tercer año.</w:t>
      </w:r>
    </w:p>
    <w:p w:rsidR="00000000" w:rsidDel="00000000" w:rsidP="00000000" w:rsidRDefault="00000000" w:rsidRPr="00000000" w14:paraId="0000000D">
      <w:pPr>
        <w:spacing w:after="160" w:line="259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Aumentar la rentabilidad promedio por cliente o segmento de clientes en un 10%, a través de estrategias de upselling, cross-selling, retención de clientes y mejora en la gestión de precios en el tercer año.</w:t>
      </w:r>
    </w:p>
    <w:p w:rsidR="00000000" w:rsidDel="00000000" w:rsidP="00000000" w:rsidRDefault="00000000" w:rsidRPr="00000000" w14:paraId="0000000E">
      <w:pPr>
        <w:spacing w:after="160" w:line="259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programas de capacitación y comunicación para promover la adopción de la centralización de datos en todas las empresas del holding con una participación logrando adopción del 100% de la plataforma en un plazo 24 meses.</w:t>
      </w:r>
    </w:p>
    <w:p w:rsidR="00000000" w:rsidDel="00000000" w:rsidP="00000000" w:rsidRDefault="00000000" w:rsidRPr="00000000" w14:paraId="0000000F">
      <w:pPr>
        <w:spacing w:after="160" w:line="259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al menos tres proyectos colaborativos entre las empresas del holding que generen beneficios económicos o estratégicos medibles antes del tercer año.</w:t>
      </w:r>
    </w:p>
    <w:p w:rsidR="00000000" w:rsidDel="00000000" w:rsidP="00000000" w:rsidRDefault="00000000" w:rsidRPr="00000000" w14:paraId="00000010">
      <w:pPr>
        <w:spacing w:after="160" w:line="259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r37p1kgv2jls" w:id="5"/>
      <w:bookmarkEnd w:id="5"/>
      <w:r w:rsidDel="00000000" w:rsidR="00000000" w:rsidRPr="00000000">
        <w:rPr>
          <w:rtl w:val="0"/>
        </w:rPr>
        <w:t xml:space="preserve">Macro Plan de Recursos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ggefa9ywjae" w:id="6"/>
      <w:bookmarkEnd w:id="6"/>
      <w:r w:rsidDel="00000000" w:rsidR="00000000" w:rsidRPr="00000000">
        <w:rPr>
          <w:rtl w:val="0"/>
        </w:rPr>
        <w:tab/>
        <w:t xml:space="preserve">Personas (ver cuáles tercerizar)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Business Analyst por cada grupo de negocios del holding (interno): para la integración de la solución con la visión de cada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Data Scientist (interno): para análisis constante de grandes volúmenes de datos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Data Modeler (tercerizado): para la definición de la ingesta y almacenamiento de los datos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M/L Expert (tercerizado): para el diseño de la solución de IA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Data Architect (interno): Para la implementación y soporte del DW/DMs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Fin OPS (tercerizado): para la optimización de los costos de acceso a los DW/DMs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gyt8tr8u1tjx" w:id="7"/>
      <w:bookmarkEnd w:id="7"/>
      <w:r w:rsidDel="00000000" w:rsidR="00000000" w:rsidRPr="00000000">
        <w:rPr>
          <w:rtl w:val="0"/>
        </w:rPr>
        <w:tab/>
        <w:t xml:space="preserve">Tecnología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08.66141732283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solución constará de un 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DataWarehouse</w:t>
      </w:r>
      <w:r w:rsidDel="00000000" w:rsidR="00000000" w:rsidRPr="00000000">
        <w:rPr>
          <w:sz w:val="24"/>
          <w:szCs w:val="24"/>
          <w:rtl w:val="0"/>
        </w:rPr>
        <w:t xml:space="preserve"> donde se centralizará mediante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ETL</w:t>
      </w:r>
      <w:r w:rsidDel="00000000" w:rsidR="00000000" w:rsidRPr="00000000">
        <w:rPr>
          <w:sz w:val="24"/>
          <w:szCs w:val="24"/>
          <w:rtl w:val="0"/>
        </w:rPr>
        <w:t xml:space="preserve"> toda la información derivada de las diferentes empresas.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08.66141732283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DataWarehouse alimentará uno o más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DataMarts</w:t>
      </w:r>
      <w:r w:rsidDel="00000000" w:rsidR="00000000" w:rsidRPr="00000000">
        <w:rPr>
          <w:sz w:val="24"/>
          <w:szCs w:val="24"/>
          <w:rtl w:val="0"/>
        </w:rPr>
        <w:t xml:space="preserve">, que serán las fuentes de consulta con la información de interés para cada empresa.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08.66141732283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procesos de ETL y carga de los DataMarts se realizarán mediante tareas </w:t>
      </w:r>
      <w:r w:rsidDel="00000000" w:rsidR="00000000" w:rsidRPr="00000000">
        <w:rPr>
          <w:b w:val="1"/>
          <w:sz w:val="24"/>
          <w:szCs w:val="24"/>
          <w:rtl w:val="0"/>
        </w:rPr>
        <w:t xml:space="preserve">BATCH </w:t>
      </w:r>
      <w:r w:rsidDel="00000000" w:rsidR="00000000" w:rsidRPr="00000000">
        <w:rPr>
          <w:sz w:val="24"/>
          <w:szCs w:val="24"/>
          <w:rtl w:val="0"/>
        </w:rPr>
        <w:t xml:space="preserve">a ejecutarse durante la noche.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08.66141732283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Tanto el DW como los DMs se implementarán en una modalidad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Híbrida</w:t>
      </w:r>
      <w:r w:rsidDel="00000000" w:rsidR="00000000" w:rsidRPr="00000000">
        <w:rPr>
          <w:sz w:val="24"/>
          <w:szCs w:val="24"/>
          <w:rtl w:val="0"/>
        </w:rPr>
        <w:t xml:space="preserve"> (el DW en privada y los DMs en pública). Esto simplifica la gestión centralizada de los DMs y permite ahorrar costos de uso del DW ya que sólo estará activo durante las horas de ejecución de los procesos BATCH.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08.66141732283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explotación de la información (delivery) se hará con Microstrategy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08.66141732283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Adicionalmente, integraremos al esquema una solución de IA desarrollada en Python que permita la generación de Insights adicionales (</w:t>
      </w:r>
      <w:r w:rsidDel="00000000" w:rsidR="00000000" w:rsidRPr="00000000">
        <w:rPr>
          <w:b w:val="1"/>
          <w:sz w:val="24"/>
          <w:szCs w:val="24"/>
          <w:rtl w:val="0"/>
        </w:rPr>
        <w:t xml:space="preserve">Prescriptivos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r2pkazcn6575" w:id="8"/>
      <w:bookmarkEnd w:id="8"/>
      <w:r w:rsidDel="00000000" w:rsidR="00000000" w:rsidRPr="00000000">
        <w:rPr>
          <w:rtl w:val="0"/>
        </w:rPr>
        <w:tab/>
        <w:t xml:space="preserve">Herramientas: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Pentaho ETL.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Snowflake, tanto para el DataWarehouse como para los Data Marts.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Snowpark y Python para la solución de 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Microstrategy.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Metodologías: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K-Means para segmentación de consumidores según área geográfica, patrones de consumo, edad, gasto y otras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DBSCAN para identificar clústeres de datos significativos.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Q-Learning y Thompson Sampling para crear estrategias de fijación de precios y tarifas diferenciadas.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Modelos de regresiones autorregresivas para pronósticos de demanda, ventas y estrategias de inventario.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Modelos de regresiones logísticas para creación de scoring según características del cliente.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Score probabilístico con umbrales de sensibilidad según VAR (Valor a riesgo).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Modelos estadísticos para análisis exploratorio y descriptivo, como también para la creación de indicadores.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Modelos de scraping y NLP para analisis de sentimiento respecto de comentarios, quejas y feedback de encuestas.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Delivery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i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.esto ya está -&gt; es Microstrategy</w:t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Medición de Impacto 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(después armamos mejor el formato)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Supermercado:</w:t>
      </w:r>
      <w:r w:rsidDel="00000000" w:rsidR="00000000" w:rsidRPr="00000000">
        <w:rPr>
          <w:sz w:val="24"/>
          <w:szCs w:val="24"/>
          <w:rtl w:val="0"/>
        </w:rPr>
        <w:t xml:space="preserve"> ganancias mensuales, valor del ticket promedio, ingresos por sucursal,  crecimiento de ventas, tráfico de personas, rotación de inventario.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Empresa de seguros:</w:t>
      </w:r>
      <w:r w:rsidDel="00000000" w:rsidR="00000000" w:rsidRPr="00000000">
        <w:rPr>
          <w:sz w:val="24"/>
          <w:szCs w:val="24"/>
          <w:rtl w:val="0"/>
        </w:rPr>
        <w:t xml:space="preserve"> ganancias mensuales, numero de clientes, scoring, riesgo de la cartera.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fabrica de motos y bicicletas: ganancias mensuales, margen sobre producto, rotación de inventario, capacidad utilizada, disponibilidad de capacidad instalada, indice de calidad, descartes.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Producción de contenidos:</w:t>
      </w:r>
      <w:r w:rsidDel="00000000" w:rsidR="00000000" w:rsidRPr="00000000">
        <w:rPr>
          <w:sz w:val="24"/>
          <w:szCs w:val="24"/>
          <w:rtl w:val="0"/>
        </w:rPr>
        <w:t xml:space="preserve"> ganancias mensuales, consumo de contenidos, suscripciones activas, cancelación de servicios, viewer engagement, calificacion de contenidos, costo de contenido por suscriptor y por hora, satisfacción de clientes (encuestas).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Telecomunicaciones:</w:t>
      </w:r>
      <w:r w:rsidDel="00000000" w:rsidR="00000000" w:rsidRPr="00000000">
        <w:rPr>
          <w:sz w:val="24"/>
          <w:szCs w:val="24"/>
          <w:rtl w:val="0"/>
        </w:rPr>
        <w:t xml:space="preserve"> ganancias mensuales, renovacion de servicio, suscripciones activas, aumento de servicios adquiridos por un mismo cliente, captacion de nuevos clientes, incremento de suscripciones a través de  promociones, datos utilizados por mes, uso de redes mensual, cancelación de servicios por mes.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