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right="7.204724409448886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</w:rPr>
        <w:drawing>
          <wp:inline distB="114300" distT="114300" distL="114300" distR="114300">
            <wp:extent cx="3348038" cy="1851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85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right="7.204724409448886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Dirección Estratégica Basada en Datos</w:t>
      </w:r>
    </w:p>
    <w:p w:rsidR="00000000" w:rsidDel="00000000" w:rsidP="00000000" w:rsidRDefault="00000000" w:rsidRPr="00000000" w14:paraId="00000003">
      <w:pPr>
        <w:spacing w:after="200" w:line="276" w:lineRule="auto"/>
        <w:ind w:right="7.204724409448886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(M1.04-36883)</w:t>
      </w:r>
    </w:p>
    <w:p w:rsidR="00000000" w:rsidDel="00000000" w:rsidP="00000000" w:rsidRDefault="00000000" w:rsidRPr="00000000" w14:paraId="00000004">
      <w:pPr>
        <w:spacing w:after="200" w:line="276" w:lineRule="auto"/>
        <w:ind w:right="7.2047244094488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ab/>
        <w:tab/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superscript"/>
          <w:rtl w:val="0"/>
        </w:rPr>
        <w:t xml:space="preserve">er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cuatrimestre,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right="7.204724409448886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Trabajo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right="7.204724409448886"/>
        <w:jc w:val="both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right="7.204724409448886"/>
        <w:jc w:val="both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u w:val="single"/>
          <w:rtl w:val="0"/>
        </w:rPr>
        <w:t xml:space="preserve">Fecha de entrega: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 04/07/2023</w:t>
      </w:r>
    </w:p>
    <w:p w:rsidR="00000000" w:rsidDel="00000000" w:rsidP="00000000" w:rsidRDefault="00000000" w:rsidRPr="00000000" w14:paraId="00000008">
      <w:pPr>
        <w:spacing w:after="200" w:line="276" w:lineRule="auto"/>
        <w:ind w:right="7.204724409448886"/>
        <w:jc w:val="both"/>
        <w:rPr>
          <w:rFonts w:ascii="Times New Roman" w:cs="Times New Roman" w:eastAsia="Times New Roman" w:hAnsi="Times New Roman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right="7.204724409448886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u w:val="single"/>
          <w:rtl w:val="0"/>
        </w:rPr>
        <w:t xml:space="preserve">Profesores: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="276" w:lineRule="auto"/>
        <w:ind w:left="720" w:right="7.2047244094488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Ceferino Mansilla, Horacio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line="276" w:lineRule="auto"/>
        <w:ind w:left="720" w:right="7.2047244094488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Salevsky, Alejandro</w:t>
      </w:r>
    </w:p>
    <w:p w:rsidR="00000000" w:rsidDel="00000000" w:rsidP="00000000" w:rsidRDefault="00000000" w:rsidRPr="00000000" w14:paraId="0000000C">
      <w:pPr>
        <w:spacing w:after="200" w:line="276" w:lineRule="auto"/>
        <w:ind w:right="7.204724409448886"/>
        <w:jc w:val="both"/>
        <w:rPr>
          <w:rFonts w:ascii="Times New Roman" w:cs="Times New Roman" w:eastAsia="Times New Roman" w:hAnsi="Times New Roman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right="7.204724409448886"/>
        <w:jc w:val="both"/>
        <w:rPr>
          <w:rFonts w:ascii="Times New Roman" w:cs="Times New Roman" w:eastAsia="Times New Roman" w:hAnsi="Times New Roman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276" w:lineRule="auto"/>
        <w:ind w:left="720" w:right="7.2047244094488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Bosco, Gabriel Ignacio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gbosco@itba.edu.ar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="276" w:lineRule="auto"/>
        <w:ind w:left="720" w:right="7.2047244094488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Sibert, Nicolás Alejandro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nsibert@itba.edu.ar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276" w:lineRule="auto"/>
        <w:ind w:left="720" w:right="7.2047244094488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Coltro, Maximiliano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mcoltro@itba.edu.ar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276" w:lineRule="auto"/>
        <w:ind w:left="720" w:right="7.20472440944888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Martinez Ruiz Moreno, Gonzalo (gmartinezruizmoreno@itba.edu,ar)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line="276" w:lineRule="auto"/>
        <w:ind w:left="720" w:right="7.2047244094488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Premio Prado, Matías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mpremio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@itba.edu.ar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vvqp50rdgd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Misión</w:t>
      </w:r>
    </w:p>
    <w:p w:rsidR="00000000" w:rsidDel="00000000" w:rsidP="00000000" w:rsidRDefault="00000000" w:rsidRPr="00000000" w14:paraId="00000014">
      <w:pPr>
        <w:pStyle w:val="Heading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wox8qmebxf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Fortalecer las capacidades, confianza, visibilidad y protagonismo como grupo empresarial para impulsar cambios positivos en cada negocio,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través de soluciones vanguardistas de análisis de datos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x5grg99il8w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Visión</w:t>
      </w:r>
    </w:p>
    <w:p w:rsidR="00000000" w:rsidDel="00000000" w:rsidP="00000000" w:rsidRDefault="00000000" w:rsidRPr="00000000" w14:paraId="00000016">
      <w:pPr>
        <w:pStyle w:val="Heading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z6ngd3dnbzw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la piedra fundamental de cada proyecto, mejora o toma de decisiones, actuando como referente esencial para cada una de las empresas del Holding.</w:t>
      </w:r>
    </w:p>
    <w:p w:rsidR="00000000" w:rsidDel="00000000" w:rsidP="00000000" w:rsidRDefault="00000000" w:rsidRPr="00000000" w14:paraId="00000017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n32bcettpri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Objetivos del área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e implementar una plataforma tecnológica que permita la centralización de datos de todas las empresas del holding en un plazo de 18 meses.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Identificar y optimizar al menos tres procesos operativos clave en cada empresa del holding utilizando los datos centralizados en un plazo de 24 meses, logrando reducir un 10% los costos operativos.</w:t>
      </w:r>
    </w:p>
    <w:p w:rsidR="00000000" w:rsidDel="00000000" w:rsidP="00000000" w:rsidRDefault="00000000" w:rsidRPr="00000000" w14:paraId="0000001A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Garantizar que al menos el 90% de los equipos directivos utilicen activamente las herramientas de análisis y visualización de datos en sus procesos de toma de decisiones en un plazo de 30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ehbnf6mjypv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Objetivos y/o aspiraciones del Plan Estratégico (3 años)</w:t>
      </w:r>
    </w:p>
    <w:p w:rsidR="00000000" w:rsidDel="00000000" w:rsidP="00000000" w:rsidRDefault="00000000" w:rsidRPr="00000000" w14:paraId="0000001C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Mejorar el margen de beneficio neto en un 15% mediante la implementación de iniciativas de optimización de costos, aumento de eficiencia operativa y diversificación de fuentes de ingresos en el tercer año.</w:t>
      </w:r>
    </w:p>
    <w:p w:rsidR="00000000" w:rsidDel="00000000" w:rsidP="00000000" w:rsidRDefault="00000000" w:rsidRPr="00000000" w14:paraId="0000001D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un incremento del 20% en el volumen de ventas, ya sea en unidades vendidas a través de estrategias de marketing, expansión de canales de distribución y desarrollo de nuevos mercados potenciando los negocios de cada una de las empresas del holding en el tercer año.</w:t>
      </w:r>
    </w:p>
    <w:p w:rsidR="00000000" w:rsidDel="00000000" w:rsidP="00000000" w:rsidRDefault="00000000" w:rsidRPr="00000000" w14:paraId="0000001E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Aumentar la rentabilidad promedio por cliente o segmento de clientes en un 10%, a través de estrategias de upselling, cross-selling, retención de clientes y mejora en la gestión de precios en el tercer año.</w:t>
      </w:r>
    </w:p>
    <w:p w:rsidR="00000000" w:rsidDel="00000000" w:rsidP="00000000" w:rsidRDefault="00000000" w:rsidRPr="00000000" w14:paraId="0000001F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Establecer programas de capacitación y comunicación para promover la adopción de la centralización de datos en todas las empresas del holding con una participación logrando adopción del 100% de la plataforma en un plazo 24 meses.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al menos tres proyectos colaborativos entre las empresas del holding que generen beneficios económicos o estratégicos medibles antes del tercer año.</w:t>
      </w:r>
    </w:p>
    <w:p w:rsidR="00000000" w:rsidDel="00000000" w:rsidP="00000000" w:rsidRDefault="00000000" w:rsidRPr="00000000" w14:paraId="00000021">
      <w:pPr>
        <w:pStyle w:val="Heading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42g9ygghqs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Servicios ofrecidos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Repositorio de perfiles: Se creará un repositorio completo que contendrá perfiles de todas las empresas pertenecientes al holding.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Transformación de datos: El repositorio de perfiles se someterá a una transformación de datos para garantizar que sea útil y accesible para los usuarios finales.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Herramientas de análisis: Se proporcionarán herramientas avanzadas que permitan a los usuarios filtrar los datos, generar insights y ordenar la información de acuerdo con sus necesidades específicas.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Visualización de datos: Además de las herramientas de análisis, se implementará una herramienta de visualización de datos que permitirá presentar la información de manera clara y comprensible.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r37p1kgv2jl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Macro Plan de Recursos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Business Analyst por cada grupo de negocios del holding (interno): para la integración de la solución con la visión de cada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Data Scientist (interno): para análisis constante de grandes volúmenes de datos.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Data Modeler (tercerizado): para la definición de la ingesta y almacenamiento de los datos.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M/L Expert (tercerizado): para el diseño de la solución de IA.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Data Architect (interno): Para la implementación y soporte del DW/DMs.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Fin OPS (tercerizado): para la optimización de los costos de acceso a los DW/DMs.</w:t>
      </w:r>
    </w:p>
    <w:p w:rsidR="00000000" w:rsidDel="00000000" w:rsidP="00000000" w:rsidRDefault="00000000" w:rsidRPr="00000000" w14:paraId="0000002E">
      <w:pPr>
        <w:pStyle w:val="Heading3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gyt8tr8u1tj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Tecnología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solución constará de un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DataWarehouse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donde se centralizará mediante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toda la información derivada de las diferentes empresas.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DataWarehouse alimentará uno o más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DataMarts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serán las fuentes de consulta con la información de interés para cada empresa.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procesos de ETL y carga de los DataMarts se realizarán mediante tareas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ejecutarse durante la noche.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Tanto el DW como los DMs se implementarán en una modalidad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Híbrida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(el DW en privada y los DMs en pública). Esto simplifica la gestión centralizada de los DMs y permite ahorrar costos de uso del DW ya que sólo estará activo durante las horas de ejecución de los procesos BATCH.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explotación de la información (delivery) se hará con Microstrategy.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Adicionalmente, integraremos al esquema una solución de IA desarrollada en Python que permita la generación de Insights adicionales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Prescriptivos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pStyle w:val="Heading3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r2pkazcn657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Herramientas: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Pentaho ETL.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Snowflake, tanto para el DataWarehouse como para los Data Marts.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Snowpark y Python para la solución de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Microstrategy.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after="200" w:line="276" w:lineRule="auto"/>
      <w:ind w:right="7.204724409448886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5035875</wp:posOffset>
          </wp:positionH>
          <wp:positionV relativeFrom="paragraph">
            <wp:posOffset>19051</wp:posOffset>
          </wp:positionV>
          <wp:extent cx="674362" cy="375497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4362" cy="37549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premio@itba.edu.ar" TargetMode="External"/><Relationship Id="rId10" Type="http://schemas.openxmlformats.org/officeDocument/2006/relationships/hyperlink" Target="mailto:mpremio@itba.edu.ar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coltro@itba.edu.ar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gbosco@itba.edu.ar" TargetMode="External"/><Relationship Id="rId8" Type="http://schemas.openxmlformats.org/officeDocument/2006/relationships/hyperlink" Target="mailto:nsibert@itba.edu.ar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