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oz16586x5fa" w:id="0"/>
      <w:bookmarkEnd w:id="0"/>
      <w:r w:rsidDel="00000000" w:rsidR="00000000" w:rsidRPr="00000000">
        <w:rPr>
          <w:rtl w:val="0"/>
        </w:rPr>
        <w:t xml:space="preserve">PERIODO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Arrancamos con un 14% de market share en venta de unidades y 17% en valor de ventas, lo que significa que tenemos un precio ponderado mayor al promedio.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667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producto TONE tiene un revenue de 26k, en tanto que el TOPS tiene un revenue 20k.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primero con un margen del 49,2% (Revenue/CAM), en tanto que para el segundo alcanza el 19,5%.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667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observa que estamos con un SOM del 13,6%, pero con un SOV del 16,9%, gracias a un precio de retail de $540 para TONE y $400 para TOPS.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Respecto de la industria estamos en el 3er escalón con un SOV alto respecto del SOM. Esto es bueno porque generamos valor con precio y no tenemos que producir tanto. TONE por ejemplo, tiene un costo de base del 26% sobre el precio. que también es bajo respecto del benchmark de la industria.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