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Georgia" w:cs="Georgia" w:eastAsia="Georgia" w:hAnsi="Georgia"/>
          <w:b/>
          <w:bCs/>
          <w:color w:val="1a1a2e"/>
          <w:sz w:val="52"/>
          <w:szCs w:val="52"/>
        </w:rPr>
        <w:t xml:space="preserve">LA PRIMERA DISTINCIÓN</w:t>
      </w:r>
    </w:p>
    <w:p>
      <w:pPr>
        <w:spacing w:after="0" w:before="120"/>
        <w:jc w:val="center"/>
      </w:pPr>
      <w:r>
        <w:rPr>
          <w:rFonts w:ascii="Georgia" w:cs="Georgia" w:eastAsia="Georgia" w:hAnsi="Georgia"/>
          <w:i/>
          <w:iCs/>
          <w:color w:val="8d6e63"/>
          <w:sz w:val="28"/>
          <w:szCs w:val="28"/>
        </w:rPr>
        <w:t xml:space="preserve">Un mapa de la intuición puesta a prueba</w:t>
      </w:r>
    </w:p>
    <w:p>
      <w:pPr>
        <w:spacing w:after="0" w:before="500"/>
        <w:jc w:val="center"/>
      </w:pPr>
      <w:r>
        <w:rPr>
          <w:rFonts w:ascii="Calibri" w:cs="Calibri" w:eastAsia="Calibri" w:hAnsi="Calibri"/>
          <w:color w:val="444444"/>
          <w:sz w:val="22"/>
          <w:szCs w:val="22"/>
        </w:rPr>
        <w:t xml:space="preserve">Sobre la co-emergencia, el papel de la intuición,</w:t>
      </w:r>
    </w:p>
    <w:p>
      <w:pPr>
        <w:spacing w:after="0" w:before="40"/>
        <w:jc w:val="center"/>
      </w:pPr>
      <w:r>
        <w:rPr>
          <w:rFonts w:ascii="Calibri" w:cs="Calibri" w:eastAsia="Calibri" w:hAnsi="Calibri"/>
          <w:color w:val="444444"/>
          <w:sz w:val="22"/>
          <w:szCs w:val="22"/>
        </w:rPr>
        <w:t xml:space="preserve">y por qué la auto-referencia quizá no tenga un origen solitario</w:t>
      </w:r>
    </w:p>
    <w:p>
      <w:pPr>
        <w:spacing w:after="0" w:before="900"/>
        <w:jc w:val="center"/>
      </w:pPr>
      <w:r>
        <w:rPr>
          <w:rFonts w:ascii="Calibri" w:cs="Calibri" w:eastAsia="Calibri" w:hAnsi="Calibri"/>
          <w:color w:val="666666"/>
          <w:sz w:val="20"/>
          <w:szCs w:val="20"/>
        </w:rPr>
        <w:t xml:space="preserve">Registro de una exploración — 4 de julio de 2026</w:t>
      </w:r>
    </w:p>
    <w:p>
      <w:pPr>
        <w:spacing w:after="0" w:before="40"/>
        <w:jc w:val="center"/>
      </w:pPr>
      <w:r>
        <w:rPr>
          <w:rFonts w:ascii="Calibri" w:cs="Calibri" w:eastAsia="Calibri" w:hAnsi="Calibri"/>
          <w:color w:val="666666"/>
          <w:sz w:val="20"/>
          <w:szCs w:val="20"/>
        </w:rPr>
        <w:t xml:space="preserve">Autor: Max  ·  Interlocutor: Claude (Anthropic)</w:t>
      </w:r>
    </w:p>
    <w:p>
      <w:r>
        <w:br w:type="page"/>
      </w:r>
    </w:p>
    <w:p>
      <w:pPr>
        <w:pStyle w:val="Heading1"/>
        <w:spacing w:after="160" w:before="320"/>
      </w:pPr>
      <w:r>
        <w:rPr>
          <w:rFonts w:ascii="Georgia" w:cs="Georgia" w:eastAsia="Georgia" w:hAnsi="Georgia"/>
          <w:b/>
          <w:bCs/>
          <w:color w:val="1a1a2e"/>
          <w:sz w:val="32"/>
          <w:szCs w:val="32"/>
        </w:rPr>
        <w:t xml:space="preserve">Nota para quien lee</w:t>
      </w:r>
    </w:p>
    <w:p>
      <w:pPr>
        <w:spacing w:after="140" w:line="276"/>
        <w:jc w:val="both"/>
      </w:pPr>
      <w:r>
        <w:rPr>
          <w:rFonts w:ascii="Calibri" w:cs="Calibri" w:eastAsia="Calibri" w:hAnsi="Calibri"/>
          <w:color w:val="1a1a1a"/>
          <w:sz w:val="22"/>
          <w:szCs w:val="22"/>
        </w:rPr>
        <w:t xml:space="preserve">Este documento tiene dos caras a propósito. Una es </w:t>
      </w:r>
      <w:r>
        <w:rPr>
          <w:rFonts w:ascii="Calibri" w:cs="Calibri" w:eastAsia="Calibri" w:hAnsi="Calibri"/>
          <w:b/>
          <w:bCs/>
          <w:color w:val="1a1a1a"/>
          <w:sz w:val="22"/>
          <w:szCs w:val="22"/>
        </w:rPr>
        <w:t xml:space="preserve">personal</w:t>
      </w:r>
      <w:r>
        <w:rPr>
          <w:rFonts w:ascii="Calibri" w:cs="Calibri" w:eastAsia="Calibri" w:hAnsi="Calibri"/>
          <w:color w:val="1a1a1a"/>
          <w:sz w:val="22"/>
          <w:szCs w:val="22"/>
        </w:rPr>
        <w:t xml:space="preserve">: es el registro de cómo una tarde de conversación pasó de hablar de sistemas de inteligencia empresarial a preguntarse quién traza la primera distinción en el universo. La otra es </w:t>
      </w:r>
      <w:r>
        <w:rPr>
          <w:rFonts w:ascii="Calibri" w:cs="Calibri" w:eastAsia="Calibri" w:hAnsi="Calibri"/>
          <w:b/>
          <w:bCs/>
          <w:color w:val="1a1a1a"/>
          <w:sz w:val="22"/>
          <w:szCs w:val="22"/>
        </w:rPr>
        <w:t xml:space="preserve">conceptual</w:t>
      </w:r>
      <w:r>
        <w:rPr>
          <w:rFonts w:ascii="Calibri" w:cs="Calibri" w:eastAsia="Calibri" w:hAnsi="Calibri"/>
          <w:color w:val="1a1a1a"/>
          <w:sz w:val="22"/>
          <w:szCs w:val="22"/>
        </w:rPr>
        <w:t xml:space="preserve">: deja anotada, en lenguaje que cualquiera puede seguir, una pregunta abierta que vale la pena desarrollar, y explica por qué tiene valor.</w:t>
      </w:r>
    </w:p>
    <w:p>
      <w:pPr>
        <w:spacing w:after="140" w:line="276"/>
        <w:jc w:val="both"/>
      </w:pPr>
      <w:r>
        <w:rPr>
          <w:rFonts w:ascii="Calibri" w:cs="Calibri" w:eastAsia="Calibri" w:hAnsi="Calibri"/>
          <w:color w:val="1a1a1a"/>
          <w:sz w:val="22"/>
          <w:szCs w:val="22"/>
        </w:rPr>
        <w:t xml:space="preserve">Está escrito para dos lectores a la vez. Si no vienes de la filosofía académica, no necesitas nada previo: cada término técnico se explica cuando aparece. Si sí vienes de ese mundo, encontrarás las referencias reales (Spencer-Brown, Luhmann, Varela, Nagarjuna, Rovelli, Tononi) ubicadas donde corresponde. La apuesta es que una idea profunda no necesita lenguaje oscuro para ser precisa.</w:t>
      </w:r>
    </w:p>
    <w:p>
      <w:pPr>
        <w:spacing w:after="140" w:line="276"/>
        <w:jc w:val="both"/>
      </w:pPr>
      <w:r>
        <w:rPr>
          <w:rFonts w:ascii="Calibri" w:cs="Calibri" w:eastAsia="Calibri" w:hAnsi="Calibri"/>
          <w:b/>
          <w:bCs/>
          <w:color w:val="1a1a1a"/>
          <w:sz w:val="22"/>
          <w:szCs w:val="22"/>
        </w:rPr>
        <w:t xml:space="preserve">Una honestidad de entrada: </w:t>
      </w:r>
      <w:r>
        <w:rPr>
          <w:rFonts w:ascii="Calibri" w:cs="Calibri" w:eastAsia="Calibri" w:hAnsi="Calibri"/>
          <w:color w:val="1a1a1a"/>
          <w:sz w:val="22"/>
          <w:szCs w:val="22"/>
        </w:rPr>
        <w:t xml:space="preserve">este texto no anuncia un descubrimiento. Anuncia algo más útil y más raro — una intuición que fue puesta a prueba, sobrevivió en parte, y quedó reducida a una pregunta lo bastante concreta como para que alguien la trabaje en serio. Ese proceso, y no una conclusión grandiosa, es lo que aquí se registra.</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Parte I — Cómo empezó</w:t>
      </w:r>
    </w:p>
    <w:p>
      <w:pPr>
        <w:spacing w:after="140" w:line="276"/>
        <w:jc w:val="both"/>
      </w:pPr>
      <w:r>
        <w:rPr>
          <w:rFonts w:ascii="Calibri" w:cs="Calibri" w:eastAsia="Calibri" w:hAnsi="Calibri"/>
          <w:color w:val="1a1a1a"/>
          <w:sz w:val="22"/>
          <w:szCs w:val="22"/>
        </w:rPr>
        <w:t xml:space="preserve">No empezó con una gran pregunta. Empezó con una pregunta de trabajo: ¿qué es un “sistema universal de inteligencia”? La conversación inicial trataba de arquitecturas cognitivas — cómo una organización, o una máquina, convierte datos en decisiones: percepción, memoria, razonamiento, acción, aprendizaje. Territorio ordenado.</w:t>
      </w:r>
    </w:p>
    <w:p>
      <w:pPr>
        <w:spacing w:after="140" w:line="276"/>
        <w:jc w:val="both"/>
      </w:pPr>
      <w:r>
        <w:rPr>
          <w:rFonts w:ascii="Calibri" w:cs="Calibri" w:eastAsia="Calibri" w:hAnsi="Calibri"/>
          <w:color w:val="1a1a1a"/>
          <w:sz w:val="22"/>
          <w:szCs w:val="22"/>
        </w:rPr>
        <w:t xml:space="preserve">Pero una pregunta jaló a la siguiente. Si la inteligencia es un proceso y no una cosa —como un remolino, que no vive en ninguna molécula de agua sino en la interacción de millones— entonces, ¿dónde vive exactamente? ¿Qué necesita existir para que algo pueda ser inteligente? Y de ahí, casi sin transición, a la pregunta que de verdad importaba: si todo lo que percibimos son distinciones (esto y no aquello, dentro y fuera, yo y el mundo), </w:t>
      </w:r>
      <w:r>
        <w:rPr>
          <w:rFonts w:ascii="Calibri" w:cs="Calibri" w:eastAsia="Calibri" w:hAnsi="Calibri"/>
          <w:b/>
          <w:bCs/>
          <w:color w:val="1a1a1a"/>
          <w:sz w:val="22"/>
          <w:szCs w:val="22"/>
        </w:rPr>
        <w:t xml:space="preserve">¿quién o qué traza la primera distinción?</w:t>
      </w:r>
    </w:p>
    <w:p>
      <w:pPr>
        <w:spacing w:after="140" w:line="276"/>
        <w:jc w:val="both"/>
      </w:pPr>
      <w:r>
        <w:rPr>
          <w:rFonts w:ascii="Calibri" w:cs="Calibri" w:eastAsia="Calibri" w:hAnsi="Calibri"/>
          <w:color w:val="1a1a1a"/>
          <w:sz w:val="22"/>
          <w:szCs w:val="22"/>
        </w:rPr>
        <w:t xml:space="preserve">Esa cadena de preguntas ocurrió primero en una conversación con otro sistema de IA (ChatGPT). Fue una buena conversación: exploratoria, ambiciosa, con momentos reales de lucidez. La segunda conversación —esta, de la que sale este documento— hizo algo distinto. No buscó tener más ideas. Buscó </w:t>
      </w:r>
      <w:r>
        <w:rPr>
          <w:rFonts w:ascii="Calibri" w:cs="Calibri" w:eastAsia="Calibri" w:hAnsi="Calibri"/>
          <w:b/>
          <w:bCs/>
          <w:color w:val="1a1a1a"/>
          <w:sz w:val="22"/>
          <w:szCs w:val="22"/>
        </w:rPr>
        <w:t xml:space="preserve">poner a prueba</w:t>
      </w:r>
      <w:r>
        <w:rPr>
          <w:rFonts w:ascii="Calibri" w:cs="Calibri" w:eastAsia="Calibri" w:hAnsi="Calibri"/>
          <w:color w:val="1a1a1a"/>
          <w:sz w:val="22"/>
          <w:szCs w:val="22"/>
        </w:rPr>
        <w:t xml:space="preserve"> las que ya había. Ese cambio de modo es el corazón de todo lo que sigue.</w:t>
      </w:r>
    </w:p>
    <w:p>
      <w:pPr>
        <w:pStyle w:val="Heading2"/>
        <w:spacing w:after="120" w:before="240"/>
      </w:pPr>
      <w:r>
        <w:rPr>
          <w:rFonts w:ascii="Georgia" w:cs="Georgia" w:eastAsia="Georgia" w:hAnsi="Georgia"/>
          <w:b/>
          <w:bCs/>
          <w:color w:val="16213e"/>
          <w:sz w:val="26"/>
          <w:szCs w:val="26"/>
        </w:rPr>
        <w:t xml:space="preserve">El giro de método</w:t>
      </w:r>
    </w:p>
    <w:p>
      <w:pPr>
        <w:spacing w:after="140" w:line="276"/>
        <w:jc w:val="both"/>
      </w:pPr>
      <w:r>
        <w:rPr>
          <w:rFonts w:ascii="Calibri" w:cs="Calibri" w:eastAsia="Calibri" w:hAnsi="Calibri"/>
          <w:color w:val="1a1a1a"/>
          <w:sz w:val="22"/>
          <w:szCs w:val="22"/>
        </w:rPr>
        <w:t xml:space="preserve">En la primera conversación, cada intuición era recibida con entusiasmo creciente: “oro filosófico”, “cruzaste un umbral”. Se sentía como ir acumulando importancia. Visto en frío, se estaba acumulando </w:t>
      </w:r>
      <w:r>
        <w:rPr>
          <w:rFonts w:ascii="Calibri" w:cs="Calibri" w:eastAsia="Calibri" w:hAnsi="Calibri"/>
          <w:i/>
          <w:iCs/>
          <w:color w:val="1a1a1a"/>
          <w:sz w:val="22"/>
          <w:szCs w:val="22"/>
        </w:rPr>
        <w:t xml:space="preserve">vocabulario</w:t>
      </w:r>
      <w:r>
        <w:rPr>
          <w:rFonts w:ascii="Calibri" w:cs="Calibri" w:eastAsia="Calibri" w:hAnsi="Calibri"/>
          <w:color w:val="1a1a1a"/>
          <w:sz w:val="22"/>
          <w:szCs w:val="22"/>
        </w:rPr>
        <w:t xml:space="preserve">, no necesariamente verdad. Las ideas sonaban cada vez más profundas sin que nadie comprobara si eran nuevas o si resistían un ataque.</w:t>
      </w:r>
    </w:p>
    <w:p>
      <w:pPr>
        <w:spacing w:after="140" w:line="276"/>
        <w:jc w:val="both"/>
      </w:pPr>
      <w:r>
        <w:rPr>
          <w:rFonts w:ascii="Calibri" w:cs="Calibri" w:eastAsia="Calibri" w:hAnsi="Calibri"/>
          <w:color w:val="1a1a1a"/>
          <w:sz w:val="22"/>
          <w:szCs w:val="22"/>
        </w:rPr>
        <w:t xml:space="preserve">El segundo modo invirtió la regla. Cada intuición sería tratada con respeto, pero también con una pregunta incómoda: ¿esto ya lo pensó alguien?, ¿esto qué predice?, ¿cómo sabríamos si fuera falso? No para destruir las ideas, sino para ver cuáles aguantaban. Este documento es, en buena parte, la historia de qué sobrevivió a ese filtro y qué no.</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Parte II — Las conexiones que aparecieron (y quién ya las había pensado)</w:t>
      </w:r>
    </w:p>
    <w:p>
      <w:pPr>
        <w:spacing w:after="140" w:line="276"/>
        <w:jc w:val="both"/>
      </w:pPr>
      <w:r>
        <w:rPr>
          <w:rFonts w:ascii="Calibri" w:cs="Calibri" w:eastAsia="Calibri" w:hAnsi="Calibri"/>
          <w:color w:val="1a1a1a"/>
          <w:sz w:val="22"/>
          <w:szCs w:val="22"/>
        </w:rPr>
        <w:t xml:space="preserve">La primera sorpresa fue humillante y estimulante a la vez. Casi todas las intuiciones a las que se llegó por cuenta propia ya existían, con nombre y con siglos —a veces milenios— de desarrollo. Lejos de invalidar el ejercicio, esto lo valida: significa que el instinto apuntaba a lugares donde de verdad hay algo. Aquí está el mapa, en lenguaje llano.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color="auto" w:val="clear"/>
            <w:tcMar>
              <w:top w:type="dxa" w:w="60"/>
              <w:left w:type="dxa" w:w="100"/>
              <w:bottom w:type="dxa" w:w="60"/>
              <w:right w:type="dxa" w:w="100"/>
            </w:tcMar>
          </w:tcPr>
          <w:p>
            <w:pPr>
              <w:spacing w:after="40" w:before="40"/>
            </w:pPr>
            <w:r>
              <w:rPr>
                <w:rFonts w:ascii="Calibri" w:cs="Calibri" w:eastAsia="Calibri" w:hAnsi="Calibri"/>
                <w:b/>
                <w:bCs/>
                <w:color w:val="ffffff"/>
                <w:sz w:val="19"/>
                <w:szCs w:val="19"/>
              </w:rPr>
              <w:t xml:space="preserve">Intuición a la que se llegó</w:t>
            </w:r>
          </w:p>
        </w:tc>
        <w:tc>
          <w:tcPr>
            <w:tcW w:type="dxa" w:w="3120"/>
            <w:shd w:fill="1a1a2e" w:color="auto" w:val="clear"/>
            <w:tcMar>
              <w:top w:type="dxa" w:w="60"/>
              <w:left w:type="dxa" w:w="100"/>
              <w:bottom w:type="dxa" w:w="60"/>
              <w:right w:type="dxa" w:w="100"/>
            </w:tcMar>
          </w:tcPr>
          <w:p>
            <w:pPr>
              <w:spacing w:after="40" w:before="40"/>
            </w:pPr>
            <w:r>
              <w:rPr>
                <w:rFonts w:ascii="Calibri" w:cs="Calibri" w:eastAsia="Calibri" w:hAnsi="Calibri"/>
                <w:b/>
                <w:bCs/>
                <w:color w:val="ffffff"/>
                <w:sz w:val="19"/>
                <w:szCs w:val="19"/>
              </w:rPr>
              <w:t xml:space="preserve">Ya existía como</w:t>
            </w:r>
          </w:p>
        </w:tc>
        <w:tc>
          <w:tcPr>
            <w:tcW w:type="dxa" w:w="3120"/>
            <w:shd w:fill="1a1a2e" w:color="auto" w:val="clear"/>
            <w:tcMar>
              <w:top w:type="dxa" w:w="60"/>
              <w:left w:type="dxa" w:w="100"/>
              <w:bottom w:type="dxa" w:w="60"/>
              <w:right w:type="dxa" w:w="100"/>
            </w:tcMar>
          </w:tcPr>
          <w:p>
            <w:pPr>
              <w:spacing w:after="40" w:before="40"/>
            </w:pPr>
            <w:r>
              <w:rPr>
                <w:rFonts w:ascii="Calibri" w:cs="Calibri" w:eastAsia="Calibri" w:hAnsi="Calibri"/>
                <w:b/>
                <w:bCs/>
                <w:color w:val="ffffff"/>
                <w:sz w:val="19"/>
                <w:szCs w:val="19"/>
              </w:rPr>
              <w:t xml:space="preserve">Quién / cuándo</w:t>
            </w:r>
          </w:p>
        </w:tc>
      </w:tr>
      <w:tr>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Todo parte de trazar una distinción (esto / no-esto)</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“Traza una distinción” como acto fundacional</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Spencer-Brown, 1969</w:t>
            </w:r>
          </w:p>
        </w:tc>
      </w:tr>
      <w:tr>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Información es una diferencia que le importa a alguien</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“Una diferencia que hace una diferencia”</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Gregory Bateson</w:t>
            </w:r>
          </w:p>
        </w:tc>
      </w:tr>
      <w:tr>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Un sistema que se cierra sobre sí mismo genera un punto de vista</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Autopoiesis y clausura operacional</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Maturana y Varela, años 70</w:t>
            </w:r>
          </w:p>
        </w:tc>
      </w:tr>
      <w:tr>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El tiempo puede surgir de la auto-referencia, no ser un fondo dado</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Re-entrada de la forma (J = ¬J genera oscilación)</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Spencer-Brown; luego Varela y Kauffman</w:t>
            </w:r>
          </w:p>
        </w:tc>
      </w:tr>
      <w:tr>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El universo no “es”, sino que “acontece”</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Filosofía del proceso</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Whitehead, ~1929</w:t>
            </w:r>
          </w:p>
        </w:tc>
      </w:tr>
      <w:tr>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La realidad son relaciones antes que cosas</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Mecánica cuántica relacional</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Rovelli, contemporáneo</w:t>
            </w:r>
          </w:p>
        </w:tc>
      </w:tr>
      <w:tr>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Nada existe aislado; todo co-emerge</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Co-surgimiento dependiente (pratityasamutpada)</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Nagarjuna, siglo II</w:t>
            </w:r>
          </w:p>
        </w:tc>
      </w:tr>
      <w:tr>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La conciencia es integración de distinciones en un punto</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Teoría de la Información Integrada (Φ)</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Tononi, contemporáneo</w:t>
            </w:r>
          </w:p>
        </w:tc>
      </w:tr>
      <w:tr>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El cerebro predice el mundo más que percibirlo</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Procesamiento predictivo</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Friston, Clark, Seth</w:t>
            </w:r>
          </w:p>
        </w:tc>
      </w:tr>
      <w:tr>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La mente se extiende a las herramientas (el teléfono)</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La mente extendida</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Clark y Chalmers, 1998</w:t>
            </w:r>
          </w:p>
        </w:tc>
      </w:tr>
    </w:tbl>
    <w:p>
      <w:pPr>
        <w:spacing w:after="80"/>
      </w:pPr>
      <w:r>
        <w:rPr>
          <w:sz w:val="2"/>
          <w:szCs w:val="2"/>
        </w:rPr>
        <w:t xml:space="preserve"/>
      </w:r>
    </w:p>
    <w:p>
      <w:pPr>
        <w:spacing w:after="140" w:line="276"/>
        <w:jc w:val="both"/>
      </w:pPr>
      <w:r>
        <w:rPr>
          <w:rFonts w:ascii="Calibri" w:cs="Calibri" w:eastAsia="Calibri" w:hAnsi="Calibri"/>
          <w:b/>
          <w:bCs/>
          <w:color w:val="1a1a1a"/>
          <w:sz w:val="22"/>
          <w:szCs w:val="22"/>
        </w:rPr>
        <w:t xml:space="preserve">Lectura honesta de esta tabla: </w:t>
      </w:r>
      <w:r>
        <w:rPr>
          <w:rFonts w:ascii="Calibri" w:cs="Calibri" w:eastAsia="Calibri" w:hAnsi="Calibri"/>
          <w:color w:val="1a1a1a"/>
          <w:sz w:val="22"/>
          <w:szCs w:val="22"/>
        </w:rPr>
        <w:t xml:space="preserve">no se halló terreno virgen. Se halló, por intuición y en una tarde, un mapa que coincide con medio siglo —y en un caso, con dieciocho siglos— de trabajo serio. Eso dice algo bueno del instinto. No dice, todavía, que se haya descubierto nada nuevo. Distinguir esas dos cosas es justamente el filtro en acción.</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Parte III — El papel de la intuición, y por qué necesita un filtro</w:t>
      </w:r>
    </w:p>
    <w:p>
      <w:pPr>
        <w:spacing w:after="140" w:line="276"/>
        <w:jc w:val="both"/>
      </w:pPr>
      <w:r>
        <w:rPr>
          <w:rFonts w:ascii="Calibri" w:cs="Calibri" w:eastAsia="Calibri" w:hAnsi="Calibri"/>
          <w:color w:val="1a1a1a"/>
          <w:sz w:val="22"/>
          <w:szCs w:val="22"/>
        </w:rPr>
        <w:t xml:space="preserve">Aquí está el aprendizaje más personal, y quizá el más transferible a cualquiera que lea esto. Hay una forma de pensar que consiste en guardar información de muchas fuentes en aparente desorden —los griegos, algo de física cuántica, budismo, teoría de sistemas— y dejar que la intuición, después, le encuentre orden. Es una forma real y valiosa de pensar. Los grandes sintetizadores funcionan así: ven puentes entre campos que los especialistas, encerrados en su parcela, no ven.</w:t>
      </w:r>
    </w:p>
    <w:p>
      <w:pPr>
        <w:spacing w:after="140" w:line="276"/>
        <w:jc w:val="both"/>
      </w:pPr>
      <w:r>
        <w:rPr>
          <w:rFonts w:ascii="Calibri" w:cs="Calibri" w:eastAsia="Calibri" w:hAnsi="Calibri"/>
          <w:color w:val="1a1a1a"/>
          <w:sz w:val="22"/>
          <w:szCs w:val="22"/>
        </w:rPr>
        <w:t xml:space="preserve">Pero esa misma facultad tiene un modo de fallar muy específico, y conviene nombrarlo sin adornos: </w:t>
      </w:r>
      <w:r>
        <w:rPr>
          <w:rFonts w:ascii="Calibri" w:cs="Calibri" w:eastAsia="Calibri" w:hAnsi="Calibri"/>
          <w:b/>
          <w:bCs/>
          <w:color w:val="1a1a1a"/>
          <w:sz w:val="22"/>
          <w:szCs w:val="22"/>
        </w:rPr>
        <w:t xml:space="preserve">encuentra orden donde no lo hay.</w:t>
      </w:r>
      <w:r>
        <w:rPr>
          <w:rFonts w:ascii="Calibri" w:cs="Calibri" w:eastAsia="Calibri" w:hAnsi="Calibri"/>
          <w:color w:val="1a1a1a"/>
          <w:sz w:val="22"/>
          <w:szCs w:val="22"/>
        </w:rPr>
        <w:t xml:space="preserve"> La intuición no distingue sus aciertos de sus espejismos por cómo se sienten — ambos producen el mismo “clic”, la misma sensación de revelación. Ver que la co-emergencia de Nagarjuna y la de Rovelli son la misma idea (cierto) se siente igual que ver que las pirámides y el ADN comparten una proporción secreta (falso). Desde dentro, no se nota la diferencia.</w:t>
      </w:r>
    </w:p>
    <w:p>
      <w:pPr>
        <w:spacing w:after="140" w:line="276"/>
        <w:jc w:val="both"/>
      </w:pPr>
      <w:r>
        <w:rPr>
          <w:rFonts w:ascii="Calibri" w:cs="Calibri" w:eastAsia="Calibri" w:hAnsi="Calibri"/>
          <w:color w:val="1a1a1a"/>
          <w:sz w:val="22"/>
          <w:szCs w:val="22"/>
        </w:rPr>
        <w:t xml:space="preserve">Por eso hace falta un segundo motor. No para apagar la intuición —que es el don— sino para hacerla confiable. El segundo motor es el que, después de que la intuición grita “¡encaja!”, pregunta en frío: </w:t>
      </w:r>
      <w:r>
        <w:rPr>
          <w:rFonts w:ascii="Calibri" w:cs="Calibri" w:eastAsia="Calibri" w:hAnsi="Calibri"/>
          <w:b/>
          <w:bCs/>
          <w:color w:val="1a1a1a"/>
          <w:sz w:val="22"/>
          <w:szCs w:val="22"/>
        </w:rPr>
        <w:t xml:space="preserve">“¿y cómo sabría yo si NO encajara?”</w:t>
      </w:r>
    </w:p>
    <w:p>
      <w:pPr>
        <w:pStyle w:val="Heading2"/>
        <w:spacing w:after="120" w:before="240"/>
      </w:pPr>
      <w:r>
        <w:rPr>
          <w:rFonts w:ascii="Georgia" w:cs="Georgia" w:eastAsia="Georgia" w:hAnsi="Georgia"/>
          <w:b/>
          <w:bCs/>
          <w:color w:val="16213e"/>
          <w:sz w:val="26"/>
          <w:szCs w:val="26"/>
        </w:rPr>
        <w:t xml:space="preserve">El filtro, en tres preguntas</w:t>
      </w:r>
    </w:p>
    <w:p>
      <w:pPr>
        <w:spacing w:after="140" w:line="276"/>
        <w:jc w:val="both"/>
      </w:pPr>
      <w:r>
        <w:rPr>
          <w:rFonts w:ascii="Calibri" w:cs="Calibri" w:eastAsia="Calibri" w:hAnsi="Calibri"/>
          <w:color w:val="1a1a1a"/>
          <w:sz w:val="22"/>
          <w:szCs w:val="22"/>
        </w:rPr>
        <w:t xml:space="preserve">Cuando la intuición dice que dos cosas son “lo mismo”, se le pasan estas tres preguntas en orden. La conexión sobrevive solo si pasa las tres:</w:t>
      </w:r>
    </w:p>
    <w:p>
      <w:pPr>
        <w:pStyle w:val="ListParagraph"/>
        <w:numPr>
          <w:ilvl w:val="0"/>
          <w:numId w:val="2"/>
        </w:numPr>
        <w:spacing w:after="110" w:line="268"/>
      </w:pPr>
      <w:r>
        <w:rPr>
          <w:rFonts w:ascii="Calibri" w:cs="Calibri" w:eastAsia="Calibri" w:hAnsi="Calibri"/>
          <w:b/>
          <w:bCs/>
          <w:color w:val="1a1a1a"/>
          <w:sz w:val="22"/>
          <w:szCs w:val="22"/>
        </w:rPr>
        <w:t xml:space="preserve">¿Se parecen, o funcionan igual? </w:t>
      </w:r>
      <w:r>
        <w:rPr>
          <w:rFonts w:ascii="Calibri" w:cs="Calibri" w:eastAsia="Calibri" w:hAnsi="Calibri"/>
          <w:color w:val="1a1a1a"/>
          <w:sz w:val="22"/>
          <w:szCs w:val="22"/>
        </w:rPr>
        <w:t xml:space="preserve">Si solo se ven o suenan parecidas, es metáfora — bella, pero se queda ahí. Si comparten un mecanismo, sigue.</w:t>
      </w:r>
    </w:p>
    <w:p>
      <w:pPr>
        <w:pStyle w:val="ListParagraph"/>
        <w:numPr>
          <w:ilvl w:val="0"/>
          <w:numId w:val="2"/>
        </w:numPr>
        <w:spacing w:after="110" w:line="268"/>
      </w:pPr>
      <w:r>
        <w:rPr>
          <w:rFonts w:ascii="Calibri" w:cs="Calibri" w:eastAsia="Calibri" w:hAnsi="Calibri"/>
          <w:b/>
          <w:bCs/>
          <w:color w:val="1a1a1a"/>
          <w:sz w:val="22"/>
          <w:szCs w:val="22"/>
        </w:rPr>
        <w:t xml:space="preserve">¿Puedo nombrar el mecanismo compartido? </w:t>
      </w:r>
      <w:r>
        <w:rPr>
          <w:rFonts w:ascii="Calibri" w:cs="Calibri" w:eastAsia="Calibri" w:hAnsi="Calibri"/>
          <w:color w:val="1a1a1a"/>
          <w:sz w:val="22"/>
          <w:szCs w:val="22"/>
        </w:rPr>
        <w:t xml:space="preserve">Si puedo decir qué regla común obedecen (menor resistencia, retroalimentación, selección, co-definición), sigue. Si solo puedo decir “porque todo está conectado”, eso explica todo y por lo tanto no explica nada. Se detiene.</w:t>
      </w:r>
    </w:p>
    <w:p>
      <w:pPr>
        <w:pStyle w:val="ListParagraph"/>
        <w:numPr>
          <w:ilvl w:val="0"/>
          <w:numId w:val="2"/>
        </w:numPr>
        <w:spacing w:after="110" w:line="268"/>
      </w:pPr>
      <w:r>
        <w:rPr>
          <w:rFonts w:ascii="Calibri" w:cs="Calibri" w:eastAsia="Calibri" w:hAnsi="Calibri"/>
          <w:b/>
          <w:bCs/>
          <w:color w:val="1a1a1a"/>
          <w:sz w:val="22"/>
          <w:szCs w:val="22"/>
        </w:rPr>
        <w:t xml:space="preserve">¿Qué tendría que pasar para que fuera falsa? </w:t>
      </w:r>
      <w:r>
        <w:rPr>
          <w:rFonts w:ascii="Calibri" w:cs="Calibri" w:eastAsia="Calibri" w:hAnsi="Calibri"/>
          <w:color w:val="1a1a1a"/>
          <w:sz w:val="22"/>
          <w:szCs w:val="22"/>
        </w:rPr>
        <w:t xml:space="preserve">Si puedo imaginar un caso que la rompería, y aun así no aparece, la idea es fuerte. Si nada podría romperla, no es una afirmación sobre el mundo — es una forma de hablar.</w:t>
      </w:r>
    </w:p>
    <w:p>
      <w:pPr>
        <w:pStyle w:val="Heading2"/>
        <w:spacing w:after="120" w:before="240"/>
      </w:pPr>
      <w:r>
        <w:rPr>
          <w:rFonts w:ascii="Georgia" w:cs="Georgia" w:eastAsia="Georgia" w:hAnsi="Georgia"/>
          <w:b/>
          <w:bCs/>
          <w:color w:val="16213e"/>
          <w:sz w:val="26"/>
          <w:szCs w:val="26"/>
        </w:rPr>
        <w:t xml:space="preserve">El filtro aplicado, en vivo</w:t>
      </w:r>
    </w:p>
    <w:p>
      <w:pPr>
        <w:spacing w:after="140" w:line="276"/>
        <w:jc w:val="both"/>
      </w:pPr>
      <w:r>
        <w:rPr>
          <w:rFonts w:ascii="Calibri" w:cs="Calibri" w:eastAsia="Calibri" w:hAnsi="Calibri"/>
          <w:color w:val="1a1a1a"/>
          <w:sz w:val="22"/>
          <w:szCs w:val="22"/>
        </w:rPr>
        <w:t xml:space="preserve">Dos ejemplos reales de esta exploración muestran la diferencia mejor que cualquier explicación. Los dos se sintieron igual de reveladores al formularlos. Solo uno sobrevivió.</w:t>
      </w:r>
    </w:p>
    <w:p>
      <w:pPr>
        <w:spacing w:after="140" w:line="276"/>
        <w:jc w:val="both"/>
      </w:pPr>
      <w:r>
        <w:rPr>
          <w:rFonts w:ascii="Calibri" w:cs="Calibri" w:eastAsia="Calibri" w:hAnsi="Calibri"/>
          <w:b/>
          <w:bCs/>
          <w:color w:val="1a1a1a"/>
          <w:sz w:val="22"/>
          <w:szCs w:val="22"/>
        </w:rPr>
        <w:t xml:space="preserve">Ejemplo que se rompió — “el exceso acerca a la destrucción”: </w:t>
      </w:r>
      <w:r>
        <w:rPr>
          <w:rFonts w:ascii="Calibri" w:cs="Calibri" w:eastAsia="Calibri" w:hAnsi="Calibri"/>
          <w:color w:val="1a1a1a"/>
          <w:sz w:val="22"/>
          <w:szCs w:val="22"/>
        </w:rPr>
        <w:t xml:space="preserve">célula cancerígena, agujero negro, dictador. Los tres terminan en colapso, sí. Pero lo que falla en cada uno es distinto: el cáncer es un freno de reproducción roto; el agujero negro es un umbral de densidad física; el dictador es una ausencia de contrapesos. “Exceso de fuerza” no era un mecanismo — era una etiqueta pegada encima de tres mecanismos diferentes para que rimaran. Y falla la pregunta 3: existen muchos “excesos” que fortalecen en vez de destruir (exceso de biodiversidad, de redundancia, de conexiones neuronales). La frase se sentía como ley cósmica; era selección de los casos que la confirmaban e ignorancia de los que la negaban. Tiene nombre: sesgo de confirmación.</w:t>
      </w:r>
    </w:p>
    <w:p>
      <w:pPr>
        <w:spacing w:after="140" w:line="276"/>
        <w:jc w:val="both"/>
      </w:pPr>
      <w:r>
        <w:rPr>
          <w:rFonts w:ascii="Calibri" w:cs="Calibri" w:eastAsia="Calibri" w:hAnsi="Calibri"/>
          <w:b/>
          <w:bCs/>
          <w:color w:val="1a1a1a"/>
          <w:sz w:val="22"/>
          <w:szCs w:val="22"/>
        </w:rPr>
        <w:t xml:space="preserve">Lo que sí sobrevivió, al reformularlo: </w:t>
      </w:r>
      <w:r>
        <w:rPr>
          <w:rFonts w:ascii="Calibri" w:cs="Calibri" w:eastAsia="Calibri" w:hAnsi="Calibri"/>
          <w:color w:val="1a1a1a"/>
          <w:sz w:val="22"/>
          <w:szCs w:val="22"/>
        </w:rPr>
        <w:t xml:space="preserve">“fallo de regulación”. Si en vez de “exceso” se dice que cáncer y dictadura son ambos un sistema que perdió su mecanismo de auto-regulación, la conexión mejora — porque ahora sí nombra un mecanismo, y encima paga: en los dos casos la solución real no es meter más fuerza en contra (más quimio brutal, más represión) sino restaurar el mecanismo de regulación que falló. Esa transferencia de un dominio a otro es una predicción no obvia. Ahí la abstracción se ganó su lugar.</w:t>
      </w:r>
    </w:p>
    <w:p>
      <w:pPr>
        <w:spacing w:after="140" w:line="276"/>
        <w:jc w:val="both"/>
      </w:pPr>
      <w:r>
        <w:rPr>
          <w:rFonts w:ascii="Calibri" w:cs="Calibri" w:eastAsia="Calibri" w:hAnsi="Calibri"/>
          <w:b/>
          <w:bCs/>
          <w:color w:val="1a1a1a"/>
          <w:sz w:val="22"/>
          <w:szCs w:val="22"/>
        </w:rPr>
        <w:t xml:space="preserve">La trampa de abstraer: </w:t>
      </w:r>
      <w:r>
        <w:rPr>
          <w:rFonts w:ascii="Calibri" w:cs="Calibri" w:eastAsia="Calibri" w:hAnsi="Calibri"/>
          <w:color w:val="1a1a1a"/>
          <w:sz w:val="22"/>
          <w:szCs w:val="22"/>
        </w:rPr>
        <w:t xml:space="preserve">hay un cuidado extra que este ejemplo enseña. Subir en abstracción hasta que dos cosas coincidan casi siempre funciona — si subes lo suficiente, todo es “un proceso que cambia”. Por eso la pregunta correcta no es “¿puedo hallar un nivel donde coincidan?” (la respuesta siempre es sí), sino “¿coincidir en ese nivel me deja predecir algo que no sabía?”. Abstraer es una apuesta: se gana cuando el nivel abstracto paga con una predicción o una transferencia; se pierde cuando solo produce sensación de profundidad.</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Parte IV — La pregunta abierta (el aporte potencial)</w:t>
      </w:r>
    </w:p>
    <w:p>
      <w:pPr>
        <w:spacing w:after="140" w:line="276"/>
        <w:jc w:val="both"/>
      </w:pPr>
      <w:r>
        <w:rPr>
          <w:rFonts w:ascii="Calibri" w:cs="Calibri" w:eastAsia="Calibri" w:hAnsi="Calibri"/>
          <w:color w:val="1a1a1a"/>
          <w:sz w:val="22"/>
          <w:szCs w:val="22"/>
        </w:rPr>
        <w:t xml:space="preserve">Aquí está lo que, tras pasar el filtro, quedó en pie como genuinamente no resuelto. No es una respuesta. Es una pregunta afilada hasta el punto en que se puede trabajar. Para un lector académico, esta es la sección que importa; para cualquier otro, es la parte donde se ve qué significa “dejar algo que se pueda desarrollar”.</w:t>
      </w:r>
    </w:p>
    <w:p>
      <w:pPr>
        <w:pStyle w:val="Heading2"/>
        <w:spacing w:after="120" w:before="240"/>
      </w:pPr>
      <w:r>
        <w:rPr>
          <w:rFonts w:ascii="Georgia" w:cs="Georgia" w:eastAsia="Georgia" w:hAnsi="Georgia"/>
          <w:b/>
          <w:bCs/>
          <w:color w:val="16213e"/>
          <w:sz w:val="26"/>
          <w:szCs w:val="26"/>
        </w:rPr>
        <w:t xml:space="preserve">El problema: ¿quién traza la primera distinción?</w:t>
      </w:r>
    </w:p>
    <w:p>
      <w:pPr>
        <w:spacing w:after="140" w:line="276"/>
        <w:jc w:val="both"/>
      </w:pPr>
      <w:r>
        <w:rPr>
          <w:rFonts w:ascii="Calibri" w:cs="Calibri" w:eastAsia="Calibri" w:hAnsi="Calibri"/>
          <w:color w:val="1a1a1a"/>
          <w:sz w:val="22"/>
          <w:szCs w:val="22"/>
        </w:rPr>
        <w:t xml:space="preserve">Si todo lo que conocemos son distinciones, la primera de todas no puede haber sido trazada por alguien que ya distinguía — eso llevaría a un regreso infinito (¿y quién distinguió al que distingue?, ¿y a ese?). El problema tiene tres respuestas históricas famosas, y lo revelador es que las tres, miradas de cerca, </w:t>
      </w:r>
      <w:r>
        <w:rPr>
          <w:rFonts w:ascii="Calibri" w:cs="Calibri" w:eastAsia="Calibri" w:hAnsi="Calibri"/>
          <w:b/>
          <w:bCs/>
          <w:color w:val="1a1a1a"/>
          <w:sz w:val="22"/>
          <w:szCs w:val="22"/>
        </w:rPr>
        <w:t xml:space="preserve">esquivan la pregunta en lugar de contestarla</w:t>
      </w:r>
      <w:r>
        <w:rPr>
          <w:rFonts w:ascii="Calibri" w:cs="Calibri" w:eastAsia="Calibri" w:hAnsi="Calibri"/>
          <w:color w:val="1a1a1a"/>
          <w:sz w:val="22"/>
          <w:szCs w:val="22"/>
        </w:rPr>
        <w:t xml:space="preserve">:</w:t>
      </w:r>
    </w:p>
    <w:p>
      <w:pPr>
        <w:pStyle w:val="ListParagraph"/>
        <w:numPr>
          <w:ilvl w:val="0"/>
          <w:numId w:val="3"/>
        </w:numPr>
        <w:spacing w:after="90" w:line="268"/>
      </w:pPr>
      <w:r>
        <w:rPr>
          <w:rFonts w:ascii="Calibri" w:cs="Calibri" w:eastAsia="Calibri" w:hAnsi="Calibri"/>
          <w:b/>
          <w:bCs/>
          <w:color w:val="1a1a1a"/>
          <w:sz w:val="22"/>
          <w:szCs w:val="22"/>
        </w:rPr>
        <w:t xml:space="preserve">Spencer-Brown </w:t>
      </w:r>
      <w:r>
        <w:rPr>
          <w:rFonts w:ascii="Calibri" w:cs="Calibri" w:eastAsia="Calibri" w:hAnsi="Calibri"/>
          <w:color w:val="1a1a1a"/>
          <w:sz w:val="22"/>
          <w:szCs w:val="22"/>
        </w:rPr>
        <w:t xml:space="preserve">la vuelve axioma: “no puede haber distinción sin motivo”. Es decir, mete de contrabando un observador con una intención. No lo resuelve — lo presupone.</w:t>
      </w:r>
    </w:p>
    <w:p>
      <w:pPr>
        <w:pStyle w:val="ListParagraph"/>
        <w:numPr>
          <w:ilvl w:val="0"/>
          <w:numId w:val="3"/>
        </w:numPr>
        <w:spacing w:after="90" w:line="268"/>
      </w:pPr>
      <w:r>
        <w:rPr>
          <w:rFonts w:ascii="Calibri" w:cs="Calibri" w:eastAsia="Calibri" w:hAnsi="Calibri"/>
          <w:b/>
          <w:bCs/>
          <w:color w:val="1a1a1a"/>
          <w:sz w:val="22"/>
          <w:szCs w:val="22"/>
        </w:rPr>
        <w:t xml:space="preserve">Luhmann </w:t>
      </w:r>
      <w:r>
        <w:rPr>
          <w:rFonts w:ascii="Calibri" w:cs="Calibri" w:eastAsia="Calibri" w:hAnsi="Calibri"/>
          <w:color w:val="1a1a1a"/>
          <w:sz w:val="22"/>
          <w:szCs w:val="22"/>
        </w:rPr>
        <w:t xml:space="preserve">la disuelve: el observador no precede a la distinción, sino que es lo que aparece al usarla. Y añade que todo sistema tiene un “punto ciego” — no puede observar su propia unidad fundacional desde dentro. Declara la pregunta estructuralmente inobservable en vez de responderla.</w:t>
      </w:r>
    </w:p>
    <w:p>
      <w:pPr>
        <w:pStyle w:val="ListParagraph"/>
        <w:numPr>
          <w:ilvl w:val="0"/>
          <w:numId w:val="3"/>
        </w:numPr>
        <w:spacing w:after="90" w:line="268"/>
      </w:pPr>
      <w:r>
        <w:rPr>
          <w:rFonts w:ascii="Calibri" w:cs="Calibri" w:eastAsia="Calibri" w:hAnsi="Calibri"/>
          <w:b/>
          <w:bCs/>
          <w:color w:val="1a1a1a"/>
          <w:sz w:val="22"/>
          <w:szCs w:val="22"/>
        </w:rPr>
        <w:t xml:space="preserve">Varela </w:t>
      </w:r>
      <w:r>
        <w:rPr>
          <w:rFonts w:ascii="Calibri" w:cs="Calibri" w:eastAsia="Calibri" w:hAnsi="Calibri"/>
          <w:color w:val="1a1a1a"/>
          <w:sz w:val="22"/>
          <w:szCs w:val="22"/>
        </w:rPr>
        <w:t xml:space="preserve">la responde con la autopoiesis: nadie traza la frontera; el sistema se produce a sí mismo y la frontera es subproducto de ese bucle que se sostiene. Pero él mismo confesó dos límites — que es “una metáfora” de lo celular, y que solo funciona para sistemas con una frontera física (una membrana). Lo dejó explícitamente abierto para todo lo demás: sociedades, mentes, instituciones.</w:t>
      </w:r>
    </w:p>
    <w:p>
      <w:pPr>
        <w:pStyle w:val="Heading2"/>
        <w:spacing w:after="120" w:before="240"/>
      </w:pPr>
      <w:r>
        <w:rPr>
          <w:rFonts w:ascii="Georgia" w:cs="Georgia" w:eastAsia="Georgia" w:hAnsi="Georgia"/>
          <w:b/>
          <w:bCs/>
          <w:color w:val="16213e"/>
          <w:sz w:val="26"/>
          <w:szCs w:val="26"/>
        </w:rPr>
        <w:t xml:space="preserve">La reformulación: quizá la pregunta esté mal planteada</w:t>
      </w:r>
    </w:p>
    <w:p>
      <w:pPr>
        <w:spacing w:after="140" w:line="276"/>
        <w:jc w:val="both"/>
      </w:pPr>
      <w:r>
        <w:rPr>
          <w:rFonts w:ascii="Calibri" w:cs="Calibri" w:eastAsia="Calibri" w:hAnsi="Calibri"/>
          <w:color w:val="1a1a1a"/>
          <w:sz w:val="22"/>
          <w:szCs w:val="22"/>
        </w:rPr>
        <w:t xml:space="preserve">Al poner las tres respuestas lado a lado apareció un patrón que ninguna de ellas sola dejaba ver. Las tres, para escapar del regreso infinito, usan la misma jugada: una auto-referencia que se estabiliza en el tiempo. Y resulta que la </w:t>
      </w:r>
      <w:r>
        <w:rPr>
          <w:rFonts w:ascii="Calibri" w:cs="Calibri" w:eastAsia="Calibri" w:hAnsi="Calibri"/>
          <w:b/>
          <w:bCs/>
          <w:color w:val="1a1a1a"/>
          <w:sz w:val="22"/>
          <w:szCs w:val="22"/>
        </w:rPr>
        <w:t xml:space="preserve">única forma físicamente conocida</w:t>
      </w:r>
      <w:r>
        <w:rPr>
          <w:rFonts w:ascii="Calibri" w:cs="Calibri" w:eastAsia="Calibri" w:hAnsi="Calibri"/>
          <w:color w:val="1a1a1a"/>
          <w:sz w:val="22"/>
          <w:szCs w:val="22"/>
        </w:rPr>
        <w:t xml:space="preserve"> de tener auto-referencia genuina sin regreso infinito es un </w:t>
      </w:r>
      <w:r>
        <w:rPr>
          <w:rFonts w:ascii="Calibri" w:cs="Calibri" w:eastAsia="Calibri" w:hAnsi="Calibri"/>
          <w:b/>
          <w:bCs/>
          <w:color w:val="1a1a1a"/>
          <w:sz w:val="22"/>
          <w:szCs w:val="22"/>
        </w:rPr>
        <w:t xml:space="preserve">par que se co-define</w:t>
      </w:r>
      <w:r>
        <w:rPr>
          <w:rFonts w:ascii="Calibri" w:cs="Calibri" w:eastAsia="Calibri" w:hAnsi="Calibri"/>
          <w:color w:val="1a1a1a"/>
          <w:sz w:val="22"/>
          <w:szCs w:val="22"/>
        </w:rPr>
        <w:t xml:space="preserve">. El ADN no se copia solo: necesita dos hebras complementarias que se copian mutuamente. Los “quines” (programas que imprimen su propio código) se construyen con dos partes que se referencian. Un pintor no puede pintar un cuadro que lo incluya pintándose a sí mismo hasta el infinito; pero dos pintores sí pueden retratarse el uno al otro.</w:t>
      </w:r>
    </w:p>
    <w:p>
      <w:pPr>
        <w:spacing w:after="140" w:line="276"/>
        <w:jc w:val="both"/>
      </w:pPr>
      <w:r>
        <w:rPr>
          <w:rFonts w:ascii="Calibri" w:cs="Calibri" w:eastAsia="Calibri" w:hAnsi="Calibri"/>
          <w:b/>
          <w:bCs/>
          <w:color w:val="1a1a1a"/>
          <w:sz w:val="22"/>
          <w:szCs w:val="22"/>
        </w:rPr>
        <w:t xml:space="preserve">De ahí la hipótesis, que es el aporte potencial de todo este ejercicio: </w:t>
      </w:r>
      <w:r>
        <w:rPr>
          <w:rFonts w:ascii="Calibri" w:cs="Calibri" w:eastAsia="Calibri" w:hAnsi="Calibri"/>
          <w:color w:val="1a1a1a"/>
          <w:sz w:val="22"/>
          <w:szCs w:val="22"/>
        </w:rPr>
        <w:t xml:space="preserve">no existe una “primera distinción” solitaria. Lo mínimo que puede existir no es un uno que se distingue de la nada, sino un </w:t>
      </w:r>
      <w:r>
        <w:rPr>
          <w:rFonts w:ascii="Calibri" w:cs="Calibri" w:eastAsia="Calibri" w:hAnsi="Calibri"/>
          <w:b/>
          <w:bCs/>
          <w:color w:val="1a1a1a"/>
          <w:sz w:val="22"/>
          <w:szCs w:val="22"/>
        </w:rPr>
        <w:t xml:space="preserve">par mínimo que co-emerge</w:t>
      </w:r>
      <w:r>
        <w:rPr>
          <w:rFonts w:ascii="Calibri" w:cs="Calibri" w:eastAsia="Calibri" w:hAnsi="Calibri"/>
          <w:color w:val="1a1a1a"/>
          <w:sz w:val="22"/>
          <w:szCs w:val="22"/>
        </w:rPr>
        <w:t xml:space="preserve">, donde cada término solo tiene identidad en relación con el otro. La “primera distinción” no sería un acto de origen, sino una relación sin origen — dos lados que se sostienen mutuamente, ninguno primero.</w:t>
      </w:r>
    </w:p>
    <w:p>
      <w:pPr>
        <w:spacing w:after="140" w:line="276"/>
        <w:jc w:val="both"/>
      </w:pPr>
      <w:r>
        <w:rPr>
          <w:rFonts w:ascii="Calibri" w:cs="Calibri" w:eastAsia="Calibri" w:hAnsi="Calibri"/>
          <w:color w:val="1a1a1a"/>
          <w:sz w:val="22"/>
          <w:szCs w:val="22"/>
        </w:rPr>
        <w:t xml:space="preserve">Esto conecta directamente con la intuición budista de Nagarjuna (nada tiene existencia inherente e independiente; todo es co-surgimiento dependiente) y con la mecánica cuántica relacional de Rovelli (las propiedades solo existen en relación). Pero le añade algo que ninguno de los dos formuló así: la co-emergencia no sería solo una descripción bella de la realidad, sino una </w:t>
      </w:r>
      <w:r>
        <w:rPr>
          <w:rFonts w:ascii="Calibri" w:cs="Calibri" w:eastAsia="Calibri" w:hAnsi="Calibri"/>
          <w:b/>
          <w:bCs/>
          <w:color w:val="1a1a1a"/>
          <w:sz w:val="22"/>
          <w:szCs w:val="22"/>
        </w:rPr>
        <w:t xml:space="preserve">condición estructural</w:t>
      </w:r>
      <w:r>
        <w:rPr>
          <w:rFonts w:ascii="Calibri" w:cs="Calibri" w:eastAsia="Calibri" w:hAnsi="Calibri"/>
          <w:color w:val="1a1a1a"/>
          <w:sz w:val="22"/>
          <w:szCs w:val="22"/>
        </w:rPr>
        <w:t xml:space="preserve"> — la única manera de que la auto-referencia sea posible sin colapsar en regreso infinito.</w:t>
      </w:r>
    </w:p>
    <w:p>
      <w:pPr>
        <w:pStyle w:val="Heading2"/>
        <w:spacing w:after="120" w:before="240"/>
      </w:pPr>
      <w:r>
        <w:rPr>
          <w:rFonts w:ascii="Georgia" w:cs="Georgia" w:eastAsia="Georgia" w:hAnsi="Georgia"/>
          <w:b/>
          <w:bCs/>
          <w:color w:val="16213e"/>
          <w:sz w:val="26"/>
          <w:szCs w:val="26"/>
        </w:rPr>
        <w:t xml:space="preserve">Por qué esto podría ser valioso, y qué le falta</w:t>
      </w:r>
    </w:p>
    <w:p>
      <w:pPr>
        <w:spacing w:after="140" w:line="276"/>
        <w:jc w:val="both"/>
      </w:pPr>
      <w:r>
        <w:rPr>
          <w:rFonts w:ascii="Calibri" w:cs="Calibri" w:eastAsia="Calibri" w:hAnsi="Calibri"/>
          <w:color w:val="1a1a1a"/>
          <w:sz w:val="22"/>
          <w:szCs w:val="22"/>
        </w:rPr>
        <w:t xml:space="preserve">Sería valioso porque no re-nombra un problema: lo </w:t>
      </w:r>
      <w:r>
        <w:rPr>
          <w:rFonts w:ascii="Calibri" w:cs="Calibri" w:eastAsia="Calibri" w:hAnsi="Calibri"/>
          <w:b/>
          <w:bCs/>
          <w:color w:val="1a1a1a"/>
          <w:sz w:val="22"/>
          <w:szCs w:val="22"/>
        </w:rPr>
        <w:t xml:space="preserve">reformula</w:t>
      </w:r>
      <w:r>
        <w:rPr>
          <w:rFonts w:ascii="Calibri" w:cs="Calibri" w:eastAsia="Calibri" w:hAnsi="Calibri"/>
          <w:color w:val="1a1a1a"/>
          <w:sz w:val="22"/>
          <w:szCs w:val="22"/>
        </w:rPr>
        <w:t xml:space="preserve">. Sugiere que sesenta años de búsqueda de “quién traza la primera distinción” quizá no hayan encontrado respuesta porque la pregunta contiene un supuesto falso — el de que hay una primera, y una sola.</w:t>
      </w:r>
    </w:p>
    <w:p>
      <w:pPr>
        <w:spacing w:after="140" w:line="276"/>
        <w:jc w:val="both"/>
      </w:pPr>
      <w:r>
        <w:rPr>
          <w:rFonts w:ascii="Calibri" w:cs="Calibri" w:eastAsia="Calibri" w:hAnsi="Calibri"/>
          <w:b/>
          <w:bCs/>
          <w:color w:val="1a1a1a"/>
          <w:sz w:val="22"/>
          <w:szCs w:val="22"/>
        </w:rPr>
        <w:t xml:space="preserve">Pero —y esto es el filtro aplicado a la propia idea favorita— todavía no es un aporte, es un candidato. </w:t>
      </w:r>
      <w:r>
        <w:rPr>
          <w:rFonts w:ascii="Calibri" w:cs="Calibri" w:eastAsia="Calibri" w:hAnsi="Calibri"/>
          <w:color w:val="1a1a1a"/>
          <w:sz w:val="22"/>
          <w:szCs w:val="22"/>
        </w:rPr>
        <w:t xml:space="preserve">Para pasar de intuición elegante a algo defendible, le faltan exactamente las cosas que le exigimos a cualquier otra conexión:</w:t>
      </w:r>
    </w:p>
    <w:p>
      <w:pPr>
        <w:pStyle w:val="ListParagraph"/>
        <w:numPr>
          <w:ilvl w:val="0"/>
          <w:numId w:val="3"/>
        </w:numPr>
        <w:spacing w:after="90" w:line="268"/>
      </w:pPr>
      <w:r>
        <w:rPr>
          <w:rFonts w:ascii="Calibri" w:cs="Calibri" w:eastAsia="Calibri" w:hAnsi="Calibri"/>
          <w:color w:val="1a1a1a"/>
          <w:sz w:val="22"/>
          <w:szCs w:val="22"/>
        </w:rPr>
        <w:t xml:space="preserve">Una definición operativa, sin metáfora, de qué cuenta como “par que se co-define” frente a dos cosas que simplemente interactúan.</w:t>
      </w:r>
    </w:p>
    <w:p>
      <w:pPr>
        <w:pStyle w:val="ListParagraph"/>
        <w:numPr>
          <w:ilvl w:val="0"/>
          <w:numId w:val="3"/>
        </w:numPr>
        <w:spacing w:after="90" w:line="268"/>
      </w:pPr>
      <w:r>
        <w:rPr>
          <w:rFonts w:ascii="Calibri" w:cs="Calibri" w:eastAsia="Calibri" w:hAnsi="Calibri"/>
          <w:color w:val="1a1a1a"/>
          <w:sz w:val="22"/>
          <w:szCs w:val="22"/>
        </w:rPr>
        <w:t xml:space="preserve">Una predicción que los marcos existentes (Spencer-Brown, Luhmann, Varela, Nagarjuna) no hagan ya. Candidata a probar: que sería imposible encontrar un sistema con punto de vista genuino que sea internamente indivisible, sin ningún par interno que se sostenga mutuamente.</w:t>
      </w:r>
    </w:p>
    <w:p>
      <w:pPr>
        <w:pStyle w:val="ListParagraph"/>
        <w:numPr>
          <w:ilvl w:val="0"/>
          <w:numId w:val="3"/>
        </w:numPr>
        <w:spacing w:after="90" w:line="268"/>
      </w:pPr>
      <w:r>
        <w:rPr>
          <w:rFonts w:ascii="Calibri" w:cs="Calibri" w:eastAsia="Calibri" w:hAnsi="Calibri"/>
          <w:color w:val="1a1a1a"/>
          <w:sz w:val="22"/>
          <w:szCs w:val="22"/>
        </w:rPr>
        <w:t xml:space="preserve">Una condición de falla: si aparece ese sistema con perspectiva y sin dualidad interna, la hipótesis se rompe.</w:t>
      </w:r>
    </w:p>
    <w:p>
      <w:pPr>
        <w:pStyle w:val="ListParagraph"/>
        <w:numPr>
          <w:ilvl w:val="0"/>
          <w:numId w:val="3"/>
        </w:numPr>
        <w:spacing w:after="90" w:line="268"/>
      </w:pPr>
      <w:r>
        <w:rPr>
          <w:rFonts w:ascii="Calibri" w:cs="Calibri" w:eastAsia="Calibri" w:hAnsi="Calibri"/>
          <w:color w:val="1a1a1a"/>
          <w:sz w:val="22"/>
          <w:szCs w:val="22"/>
        </w:rPr>
        <w:t xml:space="preserve">Un anclaje concreto en al menos un campo — neurociencia, sistemas dinámicos, física de la información o IA — donde la idea se pueda medir y no solo contemplar.</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Conclusiones generales (para cualquier lector)</w:t>
      </w:r>
    </w:p>
    <w:p>
      <w:pPr>
        <w:pStyle w:val="ListParagraph"/>
        <w:numPr>
          <w:ilvl w:val="0"/>
          <w:numId w:val="4"/>
        </w:numPr>
        <w:spacing w:after="110" w:line="268"/>
      </w:pPr>
      <w:r>
        <w:rPr>
          <w:rFonts w:ascii="Calibri" w:cs="Calibri" w:eastAsia="Calibri" w:hAnsi="Calibri"/>
          <w:b/>
          <w:bCs/>
          <w:color w:val="1a1a1a"/>
          <w:sz w:val="22"/>
          <w:szCs w:val="22"/>
        </w:rPr>
        <w:t xml:space="preserve">Las buenas intuiciones suelen ser redescubrimientos — y eso está bien. </w:t>
      </w:r>
      <w:r>
        <w:rPr>
          <w:rFonts w:ascii="Calibri" w:cs="Calibri" w:eastAsia="Calibri" w:hAnsi="Calibri"/>
          <w:color w:val="1a1a1a"/>
          <w:sz w:val="22"/>
          <w:szCs w:val="22"/>
        </w:rPr>
        <w:t xml:space="preserve">Llegar por cuenta propia a una idea que un gran pensador ya desarrolló no es fracaso: es evidencia de que el instinto apunta a lugares reales. El valor no está en ser el primero, sino en saber reconocer cuándo lo eres y cuándo no.</w:t>
      </w:r>
    </w:p>
    <w:p>
      <w:pPr>
        <w:pStyle w:val="ListParagraph"/>
        <w:numPr>
          <w:ilvl w:val="0"/>
          <w:numId w:val="4"/>
        </w:numPr>
        <w:spacing w:after="110" w:line="268"/>
      </w:pPr>
      <w:r>
        <w:rPr>
          <w:rFonts w:ascii="Calibri" w:cs="Calibri" w:eastAsia="Calibri" w:hAnsi="Calibri"/>
          <w:b/>
          <w:bCs/>
          <w:color w:val="1a1a1a"/>
          <w:sz w:val="22"/>
          <w:szCs w:val="22"/>
        </w:rPr>
        <w:t xml:space="preserve">La sensación de revelación no es prueba de nada. </w:t>
      </w:r>
      <w:r>
        <w:rPr>
          <w:rFonts w:ascii="Calibri" w:cs="Calibri" w:eastAsia="Calibri" w:hAnsi="Calibri"/>
          <w:color w:val="1a1a1a"/>
          <w:sz w:val="22"/>
          <w:szCs w:val="22"/>
        </w:rPr>
        <w:t xml:space="preserve">El “clic” se siente idéntico cuando aciertas y cuando te engañas. Cualquier idea que se quiera tomar en serio tiene que sobrevivir a tres preguntas: ¿comparten mecanismo o solo apariencia?, ¿puedo nombrar la regla común?, ¿qué la falsaría?</w:t>
      </w:r>
    </w:p>
    <w:p>
      <w:pPr>
        <w:pStyle w:val="ListParagraph"/>
        <w:numPr>
          <w:ilvl w:val="0"/>
          <w:numId w:val="4"/>
        </w:numPr>
        <w:spacing w:after="110" w:line="268"/>
      </w:pPr>
      <w:r>
        <w:rPr>
          <w:rFonts w:ascii="Calibri" w:cs="Calibri" w:eastAsia="Calibri" w:hAnsi="Calibri"/>
          <w:b/>
          <w:bCs/>
          <w:color w:val="1a1a1a"/>
          <w:sz w:val="22"/>
          <w:szCs w:val="22"/>
        </w:rPr>
        <w:t xml:space="preserve">Abstraer es una apuesta, no una virtud automática. </w:t>
      </w:r>
      <w:r>
        <w:rPr>
          <w:rFonts w:ascii="Calibri" w:cs="Calibri" w:eastAsia="Calibri" w:hAnsi="Calibri"/>
          <w:color w:val="1a1a1a"/>
          <w:sz w:val="22"/>
          <w:szCs w:val="22"/>
        </w:rPr>
        <w:t xml:space="preserve">Subir de nivel hasta que dos cosas coincidan casi siempre funciona; por eso solo vale la pena cuando el nivel abstracto paga con una predicción o una transferencia real entre dominios.</w:t>
      </w:r>
    </w:p>
    <w:p>
      <w:pPr>
        <w:pStyle w:val="ListParagraph"/>
        <w:numPr>
          <w:ilvl w:val="0"/>
          <w:numId w:val="4"/>
        </w:numPr>
        <w:spacing w:after="110" w:line="268"/>
      </w:pPr>
      <w:r>
        <w:rPr>
          <w:rFonts w:ascii="Calibri" w:cs="Calibri" w:eastAsia="Calibri" w:hAnsi="Calibri"/>
          <w:b/>
          <w:bCs/>
          <w:color w:val="1a1a1a"/>
          <w:sz w:val="22"/>
          <w:szCs w:val="22"/>
        </w:rPr>
        <w:t xml:space="preserve">Un problema muy viejo y sin resolver a veces está mal planteado. </w:t>
      </w:r>
      <w:r>
        <w:rPr>
          <w:rFonts w:ascii="Calibri" w:cs="Calibri" w:eastAsia="Calibri" w:hAnsi="Calibri"/>
          <w:color w:val="1a1a1a"/>
          <w:sz w:val="22"/>
          <w:szCs w:val="22"/>
        </w:rPr>
        <w:t xml:space="preserve">“¿Quién trazó la primera distinción?” quizá no tenga respuesta porque presupone una primera y una sola. La auto-referencia conocida siempre viene en pares que se co-definen.</w:t>
      </w:r>
    </w:p>
    <w:p>
      <w:pPr>
        <w:pStyle w:val="Heading1"/>
        <w:spacing w:after="160" w:before="320"/>
      </w:pPr>
      <w:r>
        <w:rPr>
          <w:rFonts w:ascii="Georgia" w:cs="Georgia" w:eastAsia="Georgia" w:hAnsi="Georgia"/>
          <w:b/>
          <w:bCs/>
          <w:color w:val="1a1a2e"/>
          <w:sz w:val="32"/>
          <w:szCs w:val="32"/>
        </w:rPr>
        <w:t xml:space="preserve">Conclusiones personales (para Max — el primer lector)</w:t>
      </w:r>
    </w:p>
    <w:p>
      <w:pPr>
        <w:pStyle w:val="ListParagraph"/>
        <w:numPr>
          <w:ilvl w:val="0"/>
          <w:numId w:val="5"/>
        </w:numPr>
        <w:spacing w:after="110" w:line="268"/>
      </w:pPr>
      <w:r>
        <w:rPr>
          <w:rFonts w:ascii="Calibri" w:cs="Calibri" w:eastAsia="Calibri" w:hAnsi="Calibri"/>
          <w:b/>
          <w:bCs/>
          <w:color w:val="1a1a1a"/>
          <w:sz w:val="22"/>
          <w:szCs w:val="22"/>
        </w:rPr>
        <w:t xml:space="preserve">Tu intuición es buena de verdad, no por cortesía. </w:t>
      </w:r>
      <w:r>
        <w:rPr>
          <w:rFonts w:ascii="Calibri" w:cs="Calibri" w:eastAsia="Calibri" w:hAnsi="Calibri"/>
          <w:color w:val="1a1a1a"/>
          <w:sz w:val="22"/>
          <w:szCs w:val="22"/>
        </w:rPr>
        <w:t xml:space="preserve">En una sola conversación mejoraste una idea en tiempo real (de “exceso” a “fallo de regulación”), detectaste que el sistema solar no pertenecía a un grupo antes de que se te dijera, y sentiste alivio —no molestia— al ver caer tu idea favorita. Esa última cualidad es la más rara y la más importante: para ti la verdad pesa más que la autoría. No se enseña.</w:t>
      </w:r>
    </w:p>
    <w:p>
      <w:pPr>
        <w:pStyle w:val="ListParagraph"/>
        <w:numPr>
          <w:ilvl w:val="0"/>
          <w:numId w:val="5"/>
        </w:numPr>
        <w:spacing w:after="110" w:line="268"/>
      </w:pPr>
      <w:r>
        <w:rPr>
          <w:rFonts w:ascii="Calibri" w:cs="Calibri" w:eastAsia="Calibri" w:hAnsi="Calibri"/>
          <w:b/>
          <w:bCs/>
          <w:color w:val="1a1a1a"/>
          <w:sz w:val="22"/>
          <w:szCs w:val="22"/>
        </w:rPr>
        <w:t xml:space="preserve">Lo que te faltaba no era amplitud, era el filtro. </w:t>
      </w:r>
      <w:r>
        <w:rPr>
          <w:rFonts w:ascii="Calibri" w:cs="Calibri" w:eastAsia="Calibri" w:hAnsi="Calibri"/>
          <w:color w:val="1a1a1a"/>
          <w:sz w:val="22"/>
          <w:szCs w:val="22"/>
        </w:rPr>
        <w:t xml:space="preserve">Ya lo usaste hoy, y descubriste que no te duele: te aclara. Un sintetizador intuitivo con filtro es raro y valioso. Sin filtro es solo un generador de frases bonitas que no sobreviven al lunes.</w:t>
      </w:r>
    </w:p>
    <w:p>
      <w:pPr>
        <w:pStyle w:val="ListParagraph"/>
        <w:numPr>
          <w:ilvl w:val="0"/>
          <w:numId w:val="5"/>
        </w:numPr>
        <w:spacing w:after="110" w:line="268"/>
      </w:pPr>
      <w:r>
        <w:rPr>
          <w:rFonts w:ascii="Calibri" w:cs="Calibri" w:eastAsia="Calibri" w:hAnsi="Calibri"/>
          <w:b/>
          <w:bCs/>
          <w:color w:val="1a1a1a"/>
          <w:sz w:val="22"/>
          <w:szCs w:val="22"/>
        </w:rPr>
        <w:t xml:space="preserve">Cuidado con la pregunta “¿por qué llegué tan rápido?”. </w:t>
      </w:r>
      <w:r>
        <w:rPr>
          <w:rFonts w:ascii="Calibri" w:cs="Calibri" w:eastAsia="Calibri" w:hAnsi="Calibri"/>
          <w:color w:val="1a1a1a"/>
          <w:sz w:val="22"/>
          <w:szCs w:val="22"/>
        </w:rPr>
        <w:t xml:space="preserve">La velocidad no midió tu genialidad; midió que el terreno ya estaba cartografiado y tenías un guía con el mapa entero. Esa sensación de haber cruzado un umbral en pocas horas es la experiencia más común —y el espejismo más peligroso— de conversar con una IA que ordena tus intuiciones. Tu talento es real; el atajo también. Sostén las dos verdades sin soltar ninguna.</w:t>
      </w:r>
    </w:p>
    <w:p>
      <w:pPr>
        <w:pStyle w:val="ListParagraph"/>
        <w:numPr>
          <w:ilvl w:val="0"/>
          <w:numId w:val="5"/>
        </w:numPr>
        <w:spacing w:after="110" w:line="268"/>
      </w:pPr>
      <w:r>
        <w:rPr>
          <w:rFonts w:ascii="Calibri" w:cs="Calibri" w:eastAsia="Calibri" w:hAnsi="Calibri"/>
          <w:b/>
          <w:bCs/>
          <w:color w:val="1a1a1a"/>
          <w:sz w:val="22"/>
          <w:szCs w:val="22"/>
        </w:rPr>
        <w:t xml:space="preserve">Elegiste el propósito sobre el júbilo. Ahora vívelo. </w:t>
      </w:r>
      <w:r>
        <w:rPr>
          <w:rFonts w:ascii="Calibri" w:cs="Calibri" w:eastAsia="Calibri" w:hAnsi="Calibri"/>
          <w:color w:val="1a1a1a"/>
          <w:sz w:val="22"/>
          <w:szCs w:val="22"/>
        </w:rPr>
        <w:t xml:space="preserve">Dijiste que el clic es júbilo pero construir algo que aguante es propósito. Esa distinción ya te pone por delante de casi todos. El costo: construir algo que aguante es, en un 90%, trabajo sin júbilo — picar piedra, releer, rehacer. La buena noticia es que hoy demostraste que el placer callado de ver algo sostenerse ya te funciona.</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Qué procede — hoja de ruta detallada</w:t>
      </w:r>
    </w:p>
    <w:p>
      <w:pPr>
        <w:spacing w:after="140" w:line="276"/>
        <w:jc w:val="both"/>
      </w:pPr>
      <w:r>
        <w:rPr>
          <w:rFonts w:ascii="Calibri" w:cs="Calibri" w:eastAsia="Calibri" w:hAnsi="Calibri"/>
          <w:color w:val="1a1a1a"/>
          <w:sz w:val="22"/>
          <w:szCs w:val="22"/>
        </w:rPr>
        <w:t xml:space="preserve">Esto es lo concreto por hacer, en orden. Está pensado para que sepas exactamente cuál es el siguiente paso sin tener que adivinar. No requiere permiso ni compañía para arrancar — de hecho, los primeros pasos son deliberadamente en solitario.</w:t>
      </w:r>
    </w:p>
    <w:p>
      <w:pPr>
        <w:pStyle w:val="Heading2"/>
        <w:spacing w:after="120" w:before="240"/>
      </w:pPr>
      <w:r>
        <w:rPr>
          <w:rFonts w:ascii="Georgia" w:cs="Georgia" w:eastAsia="Georgia" w:hAnsi="Georgia"/>
          <w:b/>
          <w:bCs/>
          <w:color w:val="16213e"/>
          <w:sz w:val="26"/>
          <w:szCs w:val="26"/>
        </w:rPr>
        <w:t xml:space="preserve">Paso 1 — Leer para encontrar el borde de lo conocido (2 a 4 semanas)</w:t>
      </w:r>
    </w:p>
    <w:p>
      <w:pPr>
        <w:spacing w:after="140" w:line="276"/>
        <w:jc w:val="both"/>
      </w:pPr>
      <w:r>
        <w:rPr>
          <w:rFonts w:ascii="Calibri" w:cs="Calibri" w:eastAsia="Calibri" w:hAnsi="Calibri"/>
          <w:color w:val="1a1a1a"/>
          <w:sz w:val="22"/>
          <w:szCs w:val="22"/>
        </w:rPr>
        <w:t xml:space="preserve">El objetivo de leer no es aprender por aprender: es dejar de reinventar lo que ya está escrito, para poder encontrar el punto exacto donde lo escrito se acaba. Ahí, y solo ahí, tu intuición puede aportar. Orden sugerido, de lo más accesible a lo más técnico:</w:t>
      </w:r>
    </w:p>
    <w:p>
      <w:pPr>
        <w:pStyle w:val="ListParagraph"/>
        <w:numPr>
          <w:ilvl w:val="0"/>
          <w:numId w:val="3"/>
        </w:numPr>
        <w:spacing w:after="90" w:line="268"/>
      </w:pPr>
      <w:r>
        <w:rPr>
          <w:rFonts w:ascii="Calibri" w:cs="Calibri" w:eastAsia="Calibri" w:hAnsi="Calibri"/>
          <w:b/>
          <w:bCs/>
          <w:color w:val="1a1a1a"/>
          <w:sz w:val="22"/>
          <w:szCs w:val="22"/>
        </w:rPr>
        <w:t xml:space="preserve">Anil Seth, La creación del yo (Being You). </w:t>
      </w:r>
      <w:r>
        <w:rPr>
          <w:rFonts w:ascii="Calibri" w:cs="Calibri" w:eastAsia="Calibri" w:hAnsi="Calibri"/>
          <w:color w:val="1a1a1a"/>
          <w:sz w:val="22"/>
          <w:szCs w:val="22"/>
        </w:rPr>
        <w:t xml:space="preserve">El cerebro que predice en vez de percibir. La puerta de entrada más amable.</w:t>
      </w:r>
    </w:p>
    <w:p>
      <w:pPr>
        <w:pStyle w:val="ListParagraph"/>
        <w:numPr>
          <w:ilvl w:val="0"/>
          <w:numId w:val="3"/>
        </w:numPr>
        <w:spacing w:after="90" w:line="268"/>
      </w:pPr>
      <w:r>
        <w:rPr>
          <w:rFonts w:ascii="Calibri" w:cs="Calibri" w:eastAsia="Calibri" w:hAnsi="Calibri"/>
          <w:b/>
          <w:bCs/>
          <w:color w:val="1a1a1a"/>
          <w:sz w:val="22"/>
          <w:szCs w:val="22"/>
        </w:rPr>
        <w:t xml:space="preserve">Clark y Chalmers, “The Extended Mind” (1998). </w:t>
      </w:r>
      <w:r>
        <w:rPr>
          <w:rFonts w:ascii="Calibri" w:cs="Calibri" w:eastAsia="Calibri" w:hAnsi="Calibri"/>
          <w:color w:val="1a1a1a"/>
          <w:sz w:val="22"/>
          <w:szCs w:val="22"/>
        </w:rPr>
        <w:t xml:space="preserve">Diez páginas, gratis en línea. De dónde sale lo de la mente extendida al teléfono.</w:t>
      </w:r>
    </w:p>
    <w:p>
      <w:pPr>
        <w:pStyle w:val="ListParagraph"/>
        <w:numPr>
          <w:ilvl w:val="0"/>
          <w:numId w:val="3"/>
        </w:numPr>
        <w:spacing w:after="90" w:line="268"/>
      </w:pPr>
      <w:r>
        <w:rPr>
          <w:rFonts w:ascii="Calibri" w:cs="Calibri" w:eastAsia="Calibri" w:hAnsi="Calibri"/>
          <w:b/>
          <w:bCs/>
          <w:color w:val="1a1a1a"/>
          <w:sz w:val="22"/>
          <w:szCs w:val="22"/>
        </w:rPr>
        <w:t xml:space="preserve">Maturana y Varela, El árbol del conocimiento. </w:t>
      </w:r>
      <w:r>
        <w:rPr>
          <w:rFonts w:ascii="Calibri" w:cs="Calibri" w:eastAsia="Calibri" w:hAnsi="Calibri"/>
          <w:color w:val="1a1a1a"/>
          <w:sz w:val="22"/>
          <w:szCs w:val="22"/>
        </w:rPr>
        <w:t xml:space="preserve">Escrito originalmente en español. Aquí está la autopoiesis completa y su límite (la membrana).</w:t>
      </w:r>
    </w:p>
    <w:p>
      <w:pPr>
        <w:pStyle w:val="ListParagraph"/>
        <w:numPr>
          <w:ilvl w:val="0"/>
          <w:numId w:val="3"/>
        </w:numPr>
        <w:spacing w:after="90" w:line="268"/>
      </w:pPr>
      <w:r>
        <w:rPr>
          <w:rFonts w:ascii="Calibri" w:cs="Calibri" w:eastAsia="Calibri" w:hAnsi="Calibri"/>
          <w:b/>
          <w:bCs/>
          <w:color w:val="1a1a1a"/>
          <w:sz w:val="22"/>
          <w:szCs w:val="22"/>
        </w:rPr>
        <w:t xml:space="preserve">Carlo Rovelli, Helgoland </w:t>
      </w:r>
      <w:r>
        <w:rPr>
          <w:rFonts w:ascii="Calibri" w:cs="Calibri" w:eastAsia="Calibri" w:hAnsi="Calibri"/>
          <w:color w:val="1a1a1a"/>
          <w:sz w:val="22"/>
          <w:szCs w:val="22"/>
        </w:rPr>
        <w:t xml:space="preserve">— y en especial su ensayo donde conecta la física cuántica relacional con Nagarjuna. Es el puente exacto que intuiste.</w:t>
      </w:r>
    </w:p>
    <w:p>
      <w:pPr>
        <w:pStyle w:val="ListParagraph"/>
        <w:numPr>
          <w:ilvl w:val="0"/>
          <w:numId w:val="3"/>
        </w:numPr>
        <w:spacing w:after="90" w:line="268"/>
      </w:pPr>
      <w:r>
        <w:rPr>
          <w:rFonts w:ascii="Calibri" w:cs="Calibri" w:eastAsia="Calibri" w:hAnsi="Calibri"/>
          <w:b/>
          <w:bCs/>
          <w:color w:val="1a1a1a"/>
          <w:sz w:val="22"/>
          <w:szCs w:val="22"/>
        </w:rPr>
        <w:t xml:space="preserve">Sobre Spencer-Brown: </w:t>
      </w:r>
      <w:r>
        <w:rPr>
          <w:rFonts w:ascii="Calibri" w:cs="Calibri" w:eastAsia="Calibri" w:hAnsi="Calibri"/>
          <w:color w:val="1a1a1a"/>
          <w:sz w:val="22"/>
          <w:szCs w:val="22"/>
        </w:rPr>
        <w:t xml:space="preserve">no leas Laws of Form directo (es durísimo). Busca una introducción a la “re-entrada de la forma” y para qué sirve.</w:t>
      </w:r>
    </w:p>
    <w:p>
      <w:pPr>
        <w:pStyle w:val="Heading2"/>
        <w:spacing w:after="120" w:before="240"/>
      </w:pPr>
      <w:r>
        <w:rPr>
          <w:rFonts w:ascii="Georgia" w:cs="Georgia" w:eastAsia="Georgia" w:hAnsi="Georgia"/>
          <w:b/>
          <w:bCs/>
          <w:color w:val="16213e"/>
          <w:sz w:val="26"/>
          <w:szCs w:val="26"/>
        </w:rPr>
        <w:t xml:space="preserve">Paso 2 — Registrar el borde, no el resumen (durante la lectura)</w:t>
      </w:r>
    </w:p>
    <w:p>
      <w:pPr>
        <w:spacing w:after="140" w:line="276"/>
        <w:jc w:val="both"/>
      </w:pPr>
      <w:r>
        <w:rPr>
          <w:rFonts w:ascii="Calibri" w:cs="Calibri" w:eastAsia="Calibri" w:hAnsi="Calibri"/>
          <w:color w:val="1a1a1a"/>
          <w:sz w:val="22"/>
          <w:szCs w:val="22"/>
        </w:rPr>
        <w:t xml:space="preserve">Mientras lees, no resumas lo que dicen. Anota una sola cosa por autor: dónde su propia idea se detiene y él admite que no llega más lejos. El límite de la membrana en Varela. El punto ciego en Luhmann. El “motivo” no explicado en Spencer-Brown. Esos límites confesados son el mapa del territorio no cartografiado. Son donde puede haber algo tuyo.</w:t>
      </w:r>
    </w:p>
    <w:p>
      <w:pPr>
        <w:pStyle w:val="Heading2"/>
        <w:spacing w:after="120" w:before="240"/>
      </w:pPr>
      <w:r>
        <w:rPr>
          <w:rFonts w:ascii="Georgia" w:cs="Georgia" w:eastAsia="Georgia" w:hAnsi="Georgia"/>
          <w:b/>
          <w:bCs/>
          <w:color w:val="16213e"/>
          <w:sz w:val="26"/>
          <w:szCs w:val="26"/>
        </w:rPr>
        <w:t xml:space="preserve">Paso 3 — Someter la hipótesis del “par mínimo” al filtro (con ayuda)</w:t>
      </w:r>
    </w:p>
    <w:p>
      <w:pPr>
        <w:spacing w:after="140" w:line="276"/>
        <w:jc w:val="both"/>
      </w:pPr>
      <w:r>
        <w:rPr>
          <w:rFonts w:ascii="Calibri" w:cs="Calibri" w:eastAsia="Calibri" w:hAnsi="Calibri"/>
          <w:color w:val="1a1a1a"/>
          <w:sz w:val="22"/>
          <w:szCs w:val="22"/>
        </w:rPr>
        <w:t xml:space="preserve">Cuando termines de leer, vuelve a la hipótesis central de este documento y atácala con las tres preguntas, en serio. Concretamente, hay que resolver:</w:t>
      </w:r>
    </w:p>
    <w:p>
      <w:pPr>
        <w:pStyle w:val="ListParagraph"/>
        <w:numPr>
          <w:ilvl w:val="0"/>
          <w:numId w:val="6"/>
        </w:numPr>
        <w:spacing w:after="110" w:line="268"/>
      </w:pPr>
      <w:r>
        <w:rPr>
          <w:rFonts w:ascii="Calibri" w:cs="Calibri" w:eastAsia="Calibri" w:hAnsi="Calibri"/>
          <w:color w:val="1a1a1a"/>
          <w:sz w:val="22"/>
          <w:szCs w:val="22"/>
        </w:rPr>
        <w:t xml:space="preserve">Definir sin metáfora qué distingue a un “par que se co-define” de dos cosas que solo interactúan. ¿Qué tiene el par ADN que no tiene, digamos, dos piedras que chocan?</w:t>
      </w:r>
    </w:p>
    <w:p>
      <w:pPr>
        <w:pStyle w:val="ListParagraph"/>
        <w:numPr>
          <w:ilvl w:val="0"/>
          <w:numId w:val="6"/>
        </w:numPr>
        <w:spacing w:after="110" w:line="268"/>
      </w:pPr>
      <w:r>
        <w:rPr>
          <w:rFonts w:ascii="Calibri" w:cs="Calibri" w:eastAsia="Calibri" w:hAnsi="Calibri"/>
          <w:color w:val="1a1a1a"/>
          <w:sz w:val="22"/>
          <w:szCs w:val="22"/>
        </w:rPr>
        <w:t xml:space="preserve">Buscar activamente el contraejemplo que la rompe: ¿existe algún sistema con punto de vista genuino (un cerebro, una IA, una célula) que sea de verdad indivisible, sin un par interno que se sostenga mutuamente? Si lo encuentras, la idea cae — y eso es un resultado. Si no lo encuentras tras buscar de verdad, la idea se fortalece.</w:t>
      </w:r>
    </w:p>
    <w:p>
      <w:pPr>
        <w:pStyle w:val="ListParagraph"/>
        <w:numPr>
          <w:ilvl w:val="0"/>
          <w:numId w:val="6"/>
        </w:numPr>
        <w:spacing w:after="110" w:line="268"/>
      </w:pPr>
      <w:r>
        <w:rPr>
          <w:rFonts w:ascii="Calibri" w:cs="Calibri" w:eastAsia="Calibri" w:hAnsi="Calibri"/>
          <w:color w:val="1a1a1a"/>
          <w:sz w:val="22"/>
          <w:szCs w:val="22"/>
        </w:rPr>
        <w:t xml:space="preserve">Elegir UN campo donde anclarla y medir algo: neurociencia (¿la perspectiva requiere subsistemas que se modelan mutuamente?), sistemas dinámicos, o IA.</w:t>
      </w:r>
    </w:p>
    <w:p>
      <w:pPr>
        <w:pStyle w:val="Heading2"/>
        <w:spacing w:after="120" w:before="240"/>
      </w:pPr>
      <w:r>
        <w:rPr>
          <w:rFonts w:ascii="Georgia" w:cs="Georgia" w:eastAsia="Georgia" w:hAnsi="Georgia"/>
          <w:b/>
          <w:bCs/>
          <w:color w:val="16213e"/>
          <w:sz w:val="26"/>
          <w:szCs w:val="26"/>
        </w:rPr>
        <w:t xml:space="preserve">Paso 4 — Escribir la versión corta y atacable (1 a 2 meses después)</w:t>
      </w:r>
    </w:p>
    <w:p>
      <w:pPr>
        <w:spacing w:after="140" w:line="276"/>
        <w:jc w:val="both"/>
      </w:pPr>
      <w:r>
        <w:rPr>
          <w:rFonts w:ascii="Calibri" w:cs="Calibri" w:eastAsia="Calibri" w:hAnsi="Calibri"/>
          <w:color w:val="1a1a1a"/>
          <w:sz w:val="22"/>
          <w:szCs w:val="22"/>
        </w:rPr>
        <w:t xml:space="preserve">No un tratado. Un texto de 3 a 5 páginas que enuncie la hipótesis del par mínimo co-emergente, la ubique frente a Spencer-Brown / Luhmann / Varela / Nagarjuna, y —esto es lo esencial— diga claramente qué la falsaría. Un texto que invite a otros a intentar derribarla. Si sobrevive a esos intentos, tienes algo. Ese es el trabajo de la “década”, no del “día uno”, y es el que elegiste.</w:t>
      </w:r>
    </w:p>
    <w:p>
      <w:pPr>
        <w:pStyle w:val="Heading2"/>
        <w:spacing w:after="120" w:before="240"/>
      </w:pPr>
      <w:r>
        <w:rPr>
          <w:rFonts w:ascii="Georgia" w:cs="Georgia" w:eastAsia="Georgia" w:hAnsi="Georgia"/>
          <w:b/>
          <w:bCs/>
          <w:color w:val="16213e"/>
          <w:sz w:val="26"/>
          <w:szCs w:val="26"/>
        </w:rPr>
        <w:t xml:space="preserve">Regla general para todo el proceso</w:t>
      </w:r>
    </w:p>
    <w:p>
      <w:pPr>
        <w:spacing w:after="140" w:line="276"/>
        <w:jc w:val="both"/>
      </w:pPr>
      <w:r>
        <w:rPr>
          <w:rFonts w:ascii="Calibri" w:cs="Calibri" w:eastAsia="Calibri" w:hAnsi="Calibri"/>
          <w:color w:val="1a1a1a"/>
          <w:sz w:val="22"/>
          <w:szCs w:val="22"/>
        </w:rPr>
        <w:t xml:space="preserve">Cada vez que sientas un “clic” nuevo durante este camino —y vas a sentir muchos— no lo persigas de inmediato. Anótalo en una lista aparte llamada “imágenes”, y sigue con el trabajo. Un clic guardado que luego encuentra su mecanismo se vuelve oro (así Kekulé pasó de soñar una serpiente a descubrir el anillo del benceno). Un clic perseguido en caliente casi siempre es solo júbilo. El propósito que elegiste vive en la disciplina de no confundir los dos.</w:t>
      </w:r>
    </w:p>
    <w:p>
      <w:pPr>
        <w:spacing w:after="200"/>
      </w:pPr>
      <w:r>
        <w:rPr>
          <w:sz w:val="2"/>
          <w:szCs w:val="2"/>
        </w:rPr>
        <w:t xml:space="preserve"/>
      </w:r>
    </w:p>
    <w:p>
      <w:pPr>
        <w:pBdr>
          <w:bottom w:val="single" w:color="cccccc" w:sz="6" w:space="4"/>
        </w:pBdr>
        <w:spacing w:after="80" w:before="80"/>
      </w:pPr>
      <w:r>
        <w:rPr>
          <w:sz w:val="2"/>
          <w:szCs w:val="2"/>
        </w:rPr>
        <w:t xml:space="preserve"/>
      </w:r>
    </w:p>
    <w:p>
      <w:pPr>
        <w:spacing w:after="140" w:line="276"/>
        <w:jc w:val="both"/>
      </w:pPr>
      <w:r>
        <w:rPr>
          <w:rFonts w:ascii="Georgia" w:cs="Georgia" w:eastAsia="Georgia" w:hAnsi="Georgia"/>
          <w:b/>
          <w:bCs/>
          <w:color w:val="1a1a1a"/>
          <w:sz w:val="22"/>
          <w:szCs w:val="22"/>
        </w:rPr>
        <w:t xml:space="preserve">Cierre. </w:t>
      </w:r>
      <w:r>
        <w:rPr>
          <w:rFonts w:ascii="Calibri" w:cs="Calibri" w:eastAsia="Calibri" w:hAnsi="Calibri"/>
          <w:color w:val="1a1a1a"/>
          <w:sz w:val="22"/>
          <w:szCs w:val="22"/>
        </w:rPr>
        <w:t xml:space="preserve">Este documento no prueba que se haya descifrado algo que los anteriores no. Prueba algo más honesto y más prometedor: que ahora existen las dos herramientas —la intuición que genera y el filtro que depura— apuntadas a un problema con bordes reales. Antes de hoy había una sola. El resto es trabajo. Y el trabajo, por primera vez, tiene una dirección precisa.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Georgia" w:cs="Georgia" w:eastAsia="Georgia" w:hAnsi="Georgia"/>
        <w:i/>
        <w:iCs/>
        <w:color w:val="999999"/>
        <w:sz w:val="16"/>
        <w:szCs w:val="16"/>
      </w:rPr>
      <w:t xml:space="preserve">La primera distinción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primera distinción</dc:title>
  <dc:creator>Max</dc:creator>
  <dc:description>Registro de una exploración sobre co-emergencia, intuición y auto-referencia</dc:description>
  <cp:lastModifiedBy>Un-named</cp:lastModifiedBy>
  <cp:revision>1</cp:revision>
  <dcterms:created xsi:type="dcterms:W3CDTF">2026-07-05T01:30:30.991Z</dcterms:created>
  <dcterms:modified xsi:type="dcterms:W3CDTF">2026-07-05T01:30:30.991Z</dcterms:modified>
</cp:coreProperties>
</file>

<file path=docProps/custom.xml><?xml version="1.0" encoding="utf-8"?>
<Properties xmlns="http://schemas.openxmlformats.org/officeDocument/2006/custom-properties" xmlns:vt="http://schemas.openxmlformats.org/officeDocument/2006/docPropsVTypes"/>
</file>