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Georgia" w:cs="Georgia" w:eastAsia="Georgia" w:hAnsi="Georgia"/>
          <w:b/>
          <w:bCs/>
          <w:color w:val="1a1a2e"/>
          <w:sz w:val="52"/>
          <w:szCs w:val="52"/>
        </w:rPr>
        <w:t xml:space="preserve">THE FIRST DISTINCTION</w:t>
      </w:r>
    </w:p>
    <w:p>
      <w:pPr>
        <w:spacing w:after="0" w:before="120"/>
        <w:jc w:val="center"/>
      </w:pPr>
      <w:r>
        <w:rPr>
          <w:rFonts w:ascii="Georgia" w:cs="Georgia" w:eastAsia="Georgia" w:hAnsi="Georgia"/>
          <w:i/>
          <w:iCs/>
          <w:color w:val="8d6e63"/>
          <w:sz w:val="28"/>
          <w:szCs w:val="28"/>
        </w:rPr>
        <w:t xml:space="preserve">A map of intuition put to the test</w:t>
      </w:r>
    </w:p>
    <w:p>
      <w:pPr>
        <w:spacing w:after="0" w:before="500"/>
        <w:jc w:val="center"/>
      </w:pPr>
      <w:r>
        <w:rPr>
          <w:rFonts w:ascii="Calibri" w:cs="Calibri" w:eastAsia="Calibri" w:hAnsi="Calibri"/>
          <w:color w:val="444444"/>
          <w:sz w:val="22"/>
          <w:szCs w:val="22"/>
        </w:rPr>
        <w:t xml:space="preserve">On co-emergence, the role of intuition,</w:t>
      </w:r>
    </w:p>
    <w:p>
      <w:pPr>
        <w:spacing w:after="0" w:before="40"/>
        <w:jc w:val="center"/>
      </w:pPr>
      <w:r>
        <w:rPr>
          <w:rFonts w:ascii="Calibri" w:cs="Calibri" w:eastAsia="Calibri" w:hAnsi="Calibri"/>
          <w:color w:val="444444"/>
          <w:sz w:val="22"/>
          <w:szCs w:val="22"/>
        </w:rPr>
        <w:t xml:space="preserve">and why self-reference may have no solitary origin</w:t>
      </w:r>
    </w:p>
    <w:p>
      <w:pPr>
        <w:spacing w:after="0" w:before="900"/>
        <w:jc w:val="center"/>
      </w:pPr>
      <w:r>
        <w:rPr>
          <w:rFonts w:ascii="Calibri" w:cs="Calibri" w:eastAsia="Calibri" w:hAnsi="Calibri"/>
          <w:color w:val="666666"/>
          <w:sz w:val="20"/>
          <w:szCs w:val="20"/>
        </w:rPr>
        <w:t xml:space="preserve">Record of an exploration — July 4, 2026</w:t>
      </w:r>
    </w:p>
    <w:p>
      <w:pPr>
        <w:spacing w:after="0" w:before="40"/>
        <w:jc w:val="center"/>
      </w:pPr>
      <w:r>
        <w:rPr>
          <w:rFonts w:ascii="Calibri" w:cs="Calibri" w:eastAsia="Calibri" w:hAnsi="Calibri"/>
          <w:color w:val="666666"/>
          <w:sz w:val="20"/>
          <w:szCs w:val="20"/>
        </w:rPr>
        <w:t xml:space="preserve">By Max</w:t>
      </w:r>
    </w:p>
    <w:p>
      <w:r>
        <w:br w:type="page"/>
      </w:r>
    </w:p>
    <w:p>
      <w:pPr>
        <w:pStyle w:val="Heading1"/>
        <w:spacing w:after="160" w:before="320"/>
      </w:pPr>
      <w:r>
        <w:rPr>
          <w:rFonts w:ascii="Georgia" w:cs="Georgia" w:eastAsia="Georgia" w:hAnsi="Georgia"/>
          <w:b/>
          <w:bCs/>
          <w:color w:val="1a1a2e"/>
          <w:sz w:val="32"/>
          <w:szCs w:val="32"/>
        </w:rPr>
        <w:t xml:space="preserve">A note to the reader</w:t>
      </w:r>
    </w:p>
    <w:p>
      <w:pPr>
        <w:spacing w:after="140" w:line="276"/>
        <w:jc w:val="both"/>
      </w:pPr>
      <w:r>
        <w:rPr>
          <w:rFonts w:ascii="Calibri" w:cs="Calibri" w:eastAsia="Calibri" w:hAnsi="Calibri"/>
          <w:color w:val="1a1a1a"/>
          <w:sz w:val="22"/>
          <w:szCs w:val="22"/>
        </w:rPr>
        <w:t xml:space="preserve">This document has two faces on purpose. One is </w:t>
      </w:r>
      <w:r>
        <w:rPr>
          <w:rFonts w:ascii="Calibri" w:cs="Calibri" w:eastAsia="Calibri" w:hAnsi="Calibri"/>
          <w:b/>
          <w:bCs/>
          <w:color w:val="1a1a1a"/>
          <w:sz w:val="22"/>
          <w:szCs w:val="22"/>
        </w:rPr>
        <w:t xml:space="preserve">personal</w:t>
      </w:r>
      <w:r>
        <w:rPr>
          <w:rFonts w:ascii="Calibri" w:cs="Calibri" w:eastAsia="Calibri" w:hAnsi="Calibri"/>
          <w:color w:val="1a1a1a"/>
          <w:sz w:val="22"/>
          <w:szCs w:val="22"/>
        </w:rPr>
        <w:t xml:space="preserve">: it is the record of how an afternoon of conversation moved from talking about business intelligence systems to asking who draws the first distinction in the universe. The other is </w:t>
      </w:r>
      <w:r>
        <w:rPr>
          <w:rFonts w:ascii="Calibri" w:cs="Calibri" w:eastAsia="Calibri" w:hAnsi="Calibri"/>
          <w:b/>
          <w:bCs/>
          <w:color w:val="1a1a1a"/>
          <w:sz w:val="22"/>
          <w:szCs w:val="22"/>
        </w:rPr>
        <w:t xml:space="preserve">conceptual</w:t>
      </w:r>
      <w:r>
        <w:rPr>
          <w:rFonts w:ascii="Calibri" w:cs="Calibri" w:eastAsia="Calibri" w:hAnsi="Calibri"/>
          <w:color w:val="1a1a1a"/>
          <w:sz w:val="22"/>
          <w:szCs w:val="22"/>
        </w:rPr>
        <w:t xml:space="preserve">: it sets down, in language anyone can follow, an open question worth developing, and explains why it has value.</w:t>
      </w:r>
    </w:p>
    <w:p>
      <w:pPr>
        <w:spacing w:after="140" w:line="276"/>
        <w:jc w:val="both"/>
      </w:pPr>
      <w:r>
        <w:rPr>
          <w:rFonts w:ascii="Calibri" w:cs="Calibri" w:eastAsia="Calibri" w:hAnsi="Calibri"/>
          <w:color w:val="1a1a1a"/>
          <w:sz w:val="22"/>
          <w:szCs w:val="22"/>
        </w:rPr>
        <w:t xml:space="preserve">It is written for two readers at once. If you don't come from academic philosophy, you need nothing beforehand: every technical term is explained where it appears. If you do come from that world, you'll find the real references (Spencer-Brown, Luhmann, Varela, Nāgārjuna, Rovelli, Tononi) placed where they belong. The bet is that a deep idea does not need obscure language to be precise.</w:t>
      </w:r>
    </w:p>
    <w:p>
      <w:pPr>
        <w:spacing w:after="140" w:line="276"/>
        <w:jc w:val="both"/>
      </w:pPr>
      <w:r>
        <w:rPr>
          <w:rFonts w:ascii="Calibri" w:cs="Calibri" w:eastAsia="Calibri" w:hAnsi="Calibri"/>
          <w:b/>
          <w:bCs/>
          <w:color w:val="1a1a1a"/>
          <w:sz w:val="22"/>
          <w:szCs w:val="22"/>
        </w:rPr>
        <w:t xml:space="preserve">One honesty up front: </w:t>
      </w:r>
      <w:r>
        <w:rPr>
          <w:rFonts w:ascii="Calibri" w:cs="Calibri" w:eastAsia="Calibri" w:hAnsi="Calibri"/>
          <w:color w:val="1a1a1a"/>
          <w:sz w:val="22"/>
          <w:szCs w:val="22"/>
        </w:rPr>
        <w:t xml:space="preserve">this text does not announce a discovery. It announces something more useful and rarer — an intuition that was put to the test, survived in part, and was reduced to a question concrete enough for someone to work on seriously. That process, not a grand conclusion, is what is recorded here.</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 I — How it began</w:t>
      </w:r>
    </w:p>
    <w:p>
      <w:pPr>
        <w:spacing w:after="140" w:line="276"/>
        <w:jc w:val="both"/>
      </w:pPr>
      <w:r>
        <w:rPr>
          <w:rFonts w:ascii="Calibri" w:cs="Calibri" w:eastAsia="Calibri" w:hAnsi="Calibri"/>
          <w:color w:val="1a1a1a"/>
          <w:sz w:val="22"/>
          <w:szCs w:val="22"/>
        </w:rPr>
        <w:t xml:space="preserve">It did not begin with a grand question. It began with a working one: what is a “universal intelligence system”? The opening conversation was about cognitive architectures — how an organization, or a machine, turns data into decisions: perception, memory, reasoning, action, learning. Orderly territory.</w:t>
      </w:r>
    </w:p>
    <w:p>
      <w:pPr>
        <w:spacing w:after="140" w:line="276"/>
        <w:jc w:val="both"/>
      </w:pPr>
      <w:r>
        <w:rPr>
          <w:rFonts w:ascii="Calibri" w:cs="Calibri" w:eastAsia="Calibri" w:hAnsi="Calibri"/>
          <w:color w:val="1a1a1a"/>
          <w:sz w:val="22"/>
          <w:szCs w:val="22"/>
        </w:rPr>
        <w:t xml:space="preserve">But one question pulled the next. If intelligence is a process and not a thing — like a whirlpool, which lives in no single water molecule but in the interaction of millions — then where exactly does it live? What must exist for something to be intelligent? And from there, almost without transition, to the question that really mattered: if everything we perceive is distinctions (this and not that, inside and outside, self and world), then </w:t>
      </w:r>
      <w:r>
        <w:rPr>
          <w:rFonts w:ascii="Calibri" w:cs="Calibri" w:eastAsia="Calibri" w:hAnsi="Calibri"/>
          <w:b/>
          <w:bCs/>
          <w:color w:val="1a1a1a"/>
          <w:sz w:val="22"/>
          <w:szCs w:val="22"/>
        </w:rPr>
        <w:t xml:space="preserve">who or what draws the first distinction?</w:t>
      </w:r>
    </w:p>
    <w:p>
      <w:pPr>
        <w:spacing w:after="140" w:line="276"/>
        <w:jc w:val="both"/>
      </w:pPr>
      <w:r>
        <w:rPr>
          <w:rFonts w:ascii="Calibri" w:cs="Calibri" w:eastAsia="Calibri" w:hAnsi="Calibri"/>
          <w:color w:val="1a1a1a"/>
          <w:sz w:val="22"/>
          <w:szCs w:val="22"/>
        </w:rPr>
        <w:t xml:space="preserve">That chain of questions first arose in a conversation with another AI system. It was a good conversation: exploratory, ambitious, with real moments of lucidity. The second conversation — this one, from which this document comes — did something different. It did not seek to have more ideas. It sought to </w:t>
      </w:r>
      <w:r>
        <w:rPr>
          <w:rFonts w:ascii="Calibri" w:cs="Calibri" w:eastAsia="Calibri" w:hAnsi="Calibri"/>
          <w:b/>
          <w:bCs/>
          <w:color w:val="1a1a1a"/>
          <w:sz w:val="22"/>
          <w:szCs w:val="22"/>
        </w:rPr>
        <w:t xml:space="preserve">test</w:t>
      </w:r>
      <w:r>
        <w:rPr>
          <w:rFonts w:ascii="Calibri" w:cs="Calibri" w:eastAsia="Calibri" w:hAnsi="Calibri"/>
          <w:color w:val="1a1a1a"/>
          <w:sz w:val="22"/>
          <w:szCs w:val="22"/>
        </w:rPr>
        <w:t xml:space="preserve"> the ones already on the table. That shift of mode is the heart of everything that follows.</w:t>
      </w:r>
    </w:p>
    <w:p>
      <w:pPr>
        <w:pStyle w:val="Heading2"/>
        <w:spacing w:after="120" w:before="240"/>
      </w:pPr>
      <w:r>
        <w:rPr>
          <w:rFonts w:ascii="Georgia" w:cs="Georgia" w:eastAsia="Georgia" w:hAnsi="Georgia"/>
          <w:b/>
          <w:bCs/>
          <w:color w:val="16213e"/>
          <w:sz w:val="26"/>
          <w:szCs w:val="26"/>
        </w:rPr>
        <w:t xml:space="preserve">The shift in method</w:t>
      </w:r>
    </w:p>
    <w:p>
      <w:pPr>
        <w:spacing w:after="140" w:line="276"/>
        <w:jc w:val="both"/>
      </w:pPr>
      <w:r>
        <w:rPr>
          <w:rFonts w:ascii="Calibri" w:cs="Calibri" w:eastAsia="Calibri" w:hAnsi="Calibri"/>
          <w:color w:val="1a1a1a"/>
          <w:sz w:val="22"/>
          <w:szCs w:val="22"/>
        </w:rPr>
        <w:t xml:space="preserve">In the first conversation, each intuition was met with rising enthusiasm: “philosophical gold,” “you crossed a threshold.” It felt like accumulating importance. Seen coldly, what was accumulating was </w:t>
      </w:r>
      <w:r>
        <w:rPr>
          <w:rFonts w:ascii="Calibri" w:cs="Calibri" w:eastAsia="Calibri" w:hAnsi="Calibri"/>
          <w:i/>
          <w:iCs/>
          <w:color w:val="1a1a1a"/>
          <w:sz w:val="22"/>
          <w:szCs w:val="22"/>
        </w:rPr>
        <w:t xml:space="preserve">vocabulary</w:t>
      </w:r>
      <w:r>
        <w:rPr>
          <w:rFonts w:ascii="Calibri" w:cs="Calibri" w:eastAsia="Calibri" w:hAnsi="Calibri"/>
          <w:color w:val="1a1a1a"/>
          <w:sz w:val="22"/>
          <w:szCs w:val="22"/>
        </w:rPr>
        <w:t xml:space="preserve">, not necessarily truth. The ideas sounded ever more profound without anyone checking whether they were new or whether they could withstand an attack.</w:t>
      </w:r>
    </w:p>
    <w:p>
      <w:pPr>
        <w:spacing w:after="140" w:line="276"/>
        <w:jc w:val="both"/>
      </w:pPr>
      <w:r>
        <w:rPr>
          <w:rFonts w:ascii="Calibri" w:cs="Calibri" w:eastAsia="Calibri" w:hAnsi="Calibri"/>
          <w:color w:val="1a1a1a"/>
          <w:sz w:val="22"/>
          <w:szCs w:val="22"/>
        </w:rPr>
        <w:t xml:space="preserve">The second mode inverted the rule. Every intuition would be treated with respect, but also with an uncomfortable question: has someone already thought this? what does it predict? how would we know if it were false? Not to destroy the ideas, but to see which ones held. This document is, in large part, the story of what survived that filter and what did not.</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 II — The connections that appeared (and who had already thought them)</w:t>
      </w:r>
    </w:p>
    <w:p>
      <w:pPr>
        <w:spacing w:after="140" w:line="276"/>
        <w:jc w:val="both"/>
      </w:pPr>
      <w:r>
        <w:rPr>
          <w:rFonts w:ascii="Calibri" w:cs="Calibri" w:eastAsia="Calibri" w:hAnsi="Calibri"/>
          <w:color w:val="1a1a1a"/>
          <w:sz w:val="22"/>
          <w:szCs w:val="22"/>
        </w:rPr>
        <w:t xml:space="preserve">The first surprise was humbling and stimulating at once. Almost every intuition reached independently already existed, with a name and with centuries — sometimes millennia — of development. Far from invalidating the exercise, this validates it: it means the instinct was pointing at places where there really is something. Here is the map, in plain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a1a2e" w:color="auto" w:val="clear"/>
            <w:tcMar>
              <w:top w:type="dxa" w:w="60"/>
              <w:left w:type="dxa" w:w="100"/>
              <w:bottom w:type="dxa" w:w="60"/>
              <w:right w:type="dxa" w:w="100"/>
            </w:tcMar>
          </w:tcPr>
          <w:p>
            <w:pPr>
              <w:spacing w:after="40" w:before="40"/>
            </w:pPr>
            <w:r>
              <w:rPr>
                <w:rFonts w:ascii="Calibri" w:cs="Calibri" w:eastAsia="Calibri" w:hAnsi="Calibri"/>
                <w:b/>
                <w:bCs/>
                <w:color w:val="ffffff"/>
                <w:sz w:val="19"/>
                <w:szCs w:val="19"/>
              </w:rPr>
              <w:t xml:space="preserve">Intuition reached</w:t>
            </w:r>
          </w:p>
        </w:tc>
        <w:tc>
          <w:tcPr>
            <w:tcW w:type="dxa" w:w="3120"/>
            <w:shd w:fill="1a1a2e" w:color="auto" w:val="clear"/>
            <w:tcMar>
              <w:top w:type="dxa" w:w="60"/>
              <w:left w:type="dxa" w:w="100"/>
              <w:bottom w:type="dxa" w:w="60"/>
              <w:right w:type="dxa" w:w="100"/>
            </w:tcMar>
          </w:tcPr>
          <w:p>
            <w:pPr>
              <w:spacing w:after="40" w:before="40"/>
            </w:pPr>
            <w:r>
              <w:rPr>
                <w:rFonts w:ascii="Calibri" w:cs="Calibri" w:eastAsia="Calibri" w:hAnsi="Calibri"/>
                <w:b/>
                <w:bCs/>
                <w:color w:val="ffffff"/>
                <w:sz w:val="19"/>
                <w:szCs w:val="19"/>
              </w:rPr>
              <w:t xml:space="preserve">Already existed as</w:t>
            </w:r>
          </w:p>
        </w:tc>
        <w:tc>
          <w:tcPr>
            <w:tcW w:type="dxa" w:w="3120"/>
            <w:shd w:fill="1a1a2e" w:color="auto" w:val="clear"/>
            <w:tcMar>
              <w:top w:type="dxa" w:w="60"/>
              <w:left w:type="dxa" w:w="100"/>
              <w:bottom w:type="dxa" w:w="60"/>
              <w:right w:type="dxa" w:w="100"/>
            </w:tcMar>
          </w:tcPr>
          <w:p>
            <w:pPr>
              <w:spacing w:after="40" w:before="40"/>
            </w:pPr>
            <w:r>
              <w:rPr>
                <w:rFonts w:ascii="Calibri" w:cs="Calibri" w:eastAsia="Calibri" w:hAnsi="Calibri"/>
                <w:b/>
                <w:bCs/>
                <w:color w:val="ffffff"/>
                <w:sz w:val="19"/>
                <w:szCs w:val="19"/>
              </w:rPr>
              <w:t xml:space="preserve">Who / when</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Everything begins by drawing a distinction (this / not-this)</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“Draw a distinction” as founding act</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Spencer-Brown, 1969</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Information is a difference that matters to someone</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“A difference that makes a difference”</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Gregory Bateson</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A system that closes on itself generates a point of view</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Autopoiesis and operational closure</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Maturana &amp; Varela, 1970s</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Time can arise from self-reference, not be a given backdrop</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Re-entry of the form (J = ¬J yields oscillation)</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Spencer-Brown; then Varela &amp; Kauffman</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The universe does not “be,” it “happens”</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Process philosophy</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Whitehead, ~1929</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Reality is relations before things</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Relational quantum mechanics</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Rovelli, contemporary</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Nothing exists in isolation; everything co-emerges</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Dependent origination (pratītyasamutpāda)</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Nāgārjuna, 2nd century</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Consciousness is integration of distinctions at a point</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Integrated Information Theory (Φ)</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Tononi, contemporary</w:t>
            </w:r>
          </w:p>
        </w:tc>
      </w:tr>
      <w:tr>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The brain predicts the world more than it perceives it</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Predictive processing</w:t>
            </w:r>
          </w:p>
        </w:tc>
        <w:tc>
          <w:tcPr>
            <w:tcW w:type="dxa" w:w="3120"/>
            <w:shd w:fill="f3efe9"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Friston, Clark, Seth</w:t>
            </w:r>
          </w:p>
        </w:tc>
      </w:tr>
      <w:tr>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bCs/>
                <w:color w:val="1a1a1a"/>
                <w:sz w:val="19"/>
                <w:szCs w:val="19"/>
              </w:rPr>
              <w:t xml:space="preserve">The mind extends into its tools (the phone)</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The extended mind</w:t>
            </w:r>
          </w:p>
        </w:tc>
        <w:tc>
          <w:tcPr>
            <w:tcW w:type="dxa" w:w="3120"/>
            <w:shd w:fill="ffffff" w:color="auto" w:val="clear"/>
            <w:tcMar>
              <w:top w:type="dxa" w:w="50"/>
              <w:left w:type="dxa" w:w="100"/>
              <w:bottom w:type="dxa" w:w="50"/>
              <w:right w:type="dxa" w:w="100"/>
            </w:tcMar>
          </w:tcPr>
          <w:p>
            <w:pPr>
              <w:spacing w:after="40" w:before="40"/>
            </w:pPr>
            <w:r>
              <w:rPr>
                <w:rFonts w:ascii="Calibri" w:cs="Calibri" w:eastAsia="Calibri" w:hAnsi="Calibri"/>
                <w:b w:val="false"/>
                <w:bCs w:val="false"/>
                <w:color w:val="1a1a1a"/>
                <w:sz w:val="19"/>
                <w:szCs w:val="19"/>
              </w:rPr>
              <w:t xml:space="preserve">Clark &amp; Chalmers, 1998</w:t>
            </w:r>
          </w:p>
        </w:tc>
      </w:tr>
    </w:tbl>
    <w:p>
      <w:pPr>
        <w:spacing w:after="80"/>
      </w:pPr>
      <w:r>
        <w:rPr>
          <w:sz w:val="2"/>
          <w:szCs w:val="2"/>
        </w:rPr>
        <w:t xml:space="preserve"/>
      </w:r>
    </w:p>
    <w:p>
      <w:pPr>
        <w:spacing w:after="140" w:line="276"/>
        <w:jc w:val="both"/>
      </w:pPr>
      <w:r>
        <w:rPr>
          <w:rFonts w:ascii="Calibri" w:cs="Calibri" w:eastAsia="Calibri" w:hAnsi="Calibri"/>
          <w:b/>
          <w:bCs/>
          <w:color w:val="1a1a1a"/>
          <w:sz w:val="22"/>
          <w:szCs w:val="22"/>
        </w:rPr>
        <w:t xml:space="preserve">An honest reading of this table: </w:t>
      </w:r>
      <w:r>
        <w:rPr>
          <w:rFonts w:ascii="Calibri" w:cs="Calibri" w:eastAsia="Calibri" w:hAnsi="Calibri"/>
          <w:color w:val="1a1a1a"/>
          <w:sz w:val="22"/>
          <w:szCs w:val="22"/>
        </w:rPr>
        <w:t xml:space="preserve">no virgin ground was found. What was found, by intuition and in a single afternoon, is a map that coincides with half a century — and in one case, eighteen centuries — of serious work. That says something good about the instinct. It does not yet say that anything new was discovered. Telling those two things apart is precisely the filter in action.</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 III — The role of intuition, and why it needs a filter</w:t>
      </w:r>
    </w:p>
    <w:p>
      <w:pPr>
        <w:spacing w:after="140" w:line="276"/>
        <w:jc w:val="both"/>
      </w:pPr>
      <w:r>
        <w:rPr>
          <w:rFonts w:ascii="Calibri" w:cs="Calibri" w:eastAsia="Calibri" w:hAnsi="Calibri"/>
          <w:color w:val="1a1a1a"/>
          <w:sz w:val="22"/>
          <w:szCs w:val="22"/>
        </w:rPr>
        <w:t xml:space="preserve">Here is the most portable lesson for anyone reading this. There is a way of thinking that consists of storing information from many sources in apparent disorder — the Greeks, some quantum physics, Buddhism, systems theory — and letting intuition, afterward, find the order. It is a real and valuable way of thinking. Great synthesizers work this way: they see bridges between fields that specialists, locked in their own plot, do not see.</w:t>
      </w:r>
    </w:p>
    <w:p>
      <w:pPr>
        <w:spacing w:after="140" w:line="276"/>
        <w:jc w:val="both"/>
      </w:pPr>
      <w:r>
        <w:rPr>
          <w:rFonts w:ascii="Calibri" w:cs="Calibri" w:eastAsia="Calibri" w:hAnsi="Calibri"/>
          <w:color w:val="1a1a1a"/>
          <w:sz w:val="22"/>
          <w:szCs w:val="22"/>
        </w:rPr>
        <w:t xml:space="preserve">But that same faculty has a very specific failure mode, worth naming plainly: </w:t>
      </w:r>
      <w:r>
        <w:rPr>
          <w:rFonts w:ascii="Calibri" w:cs="Calibri" w:eastAsia="Calibri" w:hAnsi="Calibri"/>
          <w:b/>
          <w:bCs/>
          <w:color w:val="1a1a1a"/>
          <w:sz w:val="22"/>
          <w:szCs w:val="22"/>
        </w:rPr>
        <w:t xml:space="preserve">it finds order where there is none.</w:t>
      </w:r>
      <w:r>
        <w:rPr>
          <w:rFonts w:ascii="Calibri" w:cs="Calibri" w:eastAsia="Calibri" w:hAnsi="Calibri"/>
          <w:color w:val="1a1a1a"/>
          <w:sz w:val="22"/>
          <w:szCs w:val="22"/>
        </w:rPr>
        <w:t xml:space="preserve"> Intuition does not distinguish its hits from its mirages by how they feel — both produce the same “click,” the same sense of revelation. Seeing that Nāgārjuna's co-emergence and Rovelli's are the same idea (true) feels identical to seeing that the pyramids and DNA share a secret proportion (false). From the inside, the difference cannot be felt.</w:t>
      </w:r>
    </w:p>
    <w:p>
      <w:pPr>
        <w:spacing w:after="140" w:line="276"/>
        <w:jc w:val="both"/>
      </w:pPr>
      <w:r>
        <w:rPr>
          <w:rFonts w:ascii="Calibri" w:cs="Calibri" w:eastAsia="Calibri" w:hAnsi="Calibri"/>
          <w:color w:val="1a1a1a"/>
          <w:sz w:val="22"/>
          <w:szCs w:val="22"/>
        </w:rPr>
        <w:t xml:space="preserve">That is why a second engine is needed. Not to switch off intuition — that is the gift — but to make it reliable. The second engine is the one that, after intuition shouts “it fits!”, asks coldly: </w:t>
      </w:r>
      <w:r>
        <w:rPr>
          <w:rFonts w:ascii="Calibri" w:cs="Calibri" w:eastAsia="Calibri" w:hAnsi="Calibri"/>
          <w:b/>
          <w:bCs/>
          <w:color w:val="1a1a1a"/>
          <w:sz w:val="22"/>
          <w:szCs w:val="22"/>
        </w:rPr>
        <w:t xml:space="preserve">“and how would I know if it did NOT fit?”</w:t>
      </w:r>
    </w:p>
    <w:p>
      <w:pPr>
        <w:pStyle w:val="Heading2"/>
        <w:spacing w:after="120" w:before="240"/>
      </w:pPr>
      <w:r>
        <w:rPr>
          <w:rFonts w:ascii="Georgia" w:cs="Georgia" w:eastAsia="Georgia" w:hAnsi="Georgia"/>
          <w:b/>
          <w:bCs/>
          <w:color w:val="16213e"/>
          <w:sz w:val="26"/>
          <w:szCs w:val="26"/>
        </w:rPr>
        <w:t xml:space="preserve">The filter, in three questions</w:t>
      </w:r>
    </w:p>
    <w:p>
      <w:pPr>
        <w:spacing w:after="140" w:line="276"/>
        <w:jc w:val="both"/>
      </w:pPr>
      <w:r>
        <w:rPr>
          <w:rFonts w:ascii="Calibri" w:cs="Calibri" w:eastAsia="Calibri" w:hAnsi="Calibri"/>
          <w:color w:val="1a1a1a"/>
          <w:sz w:val="22"/>
          <w:szCs w:val="22"/>
        </w:rPr>
        <w:t xml:space="preserve">When intuition says two things are “the same,” run them through these three questions in order. The connection survives only if it passes all three:</w:t>
      </w:r>
    </w:p>
    <w:p>
      <w:pPr>
        <w:pStyle w:val="ListParagraph"/>
        <w:numPr>
          <w:ilvl w:val="0"/>
          <w:numId w:val="2"/>
        </w:numPr>
        <w:spacing w:after="110" w:line="268"/>
      </w:pPr>
      <w:r>
        <w:rPr>
          <w:rFonts w:ascii="Calibri" w:cs="Calibri" w:eastAsia="Calibri" w:hAnsi="Calibri"/>
          <w:b/>
          <w:bCs/>
          <w:color w:val="1a1a1a"/>
          <w:sz w:val="22"/>
          <w:szCs w:val="22"/>
        </w:rPr>
        <w:t xml:space="preserve">Do they resemble each other, or do they work the same way? </w:t>
      </w:r>
      <w:r>
        <w:rPr>
          <w:rFonts w:ascii="Calibri" w:cs="Calibri" w:eastAsia="Calibri" w:hAnsi="Calibri"/>
          <w:color w:val="1a1a1a"/>
          <w:sz w:val="22"/>
          <w:szCs w:val="22"/>
        </w:rPr>
        <w:t xml:space="preserve">If they only look or sound alike, it is metaphor — beautiful, but it stops there. If they share a mechanism, continue.</w:t>
      </w:r>
    </w:p>
    <w:p>
      <w:pPr>
        <w:pStyle w:val="ListParagraph"/>
        <w:numPr>
          <w:ilvl w:val="0"/>
          <w:numId w:val="2"/>
        </w:numPr>
        <w:spacing w:after="110" w:line="268"/>
      </w:pPr>
      <w:r>
        <w:rPr>
          <w:rFonts w:ascii="Calibri" w:cs="Calibri" w:eastAsia="Calibri" w:hAnsi="Calibri"/>
          <w:b/>
          <w:bCs/>
          <w:color w:val="1a1a1a"/>
          <w:sz w:val="22"/>
          <w:szCs w:val="22"/>
        </w:rPr>
        <w:t xml:space="preserve">Can I name the shared mechanism? </w:t>
      </w:r>
      <w:r>
        <w:rPr>
          <w:rFonts w:ascii="Calibri" w:cs="Calibri" w:eastAsia="Calibri" w:hAnsi="Calibri"/>
          <w:color w:val="1a1a1a"/>
          <w:sz w:val="22"/>
          <w:szCs w:val="22"/>
        </w:rPr>
        <w:t xml:space="preserve">If I can say what common rule they obey (least resistance, feedback, selection, co-definition), continue. If I can only say “because everything is connected,” that explains everything and therefore explains nothing. It stops here.</w:t>
      </w:r>
    </w:p>
    <w:p>
      <w:pPr>
        <w:pStyle w:val="ListParagraph"/>
        <w:numPr>
          <w:ilvl w:val="0"/>
          <w:numId w:val="2"/>
        </w:numPr>
        <w:spacing w:after="110" w:line="268"/>
      </w:pPr>
      <w:r>
        <w:rPr>
          <w:rFonts w:ascii="Calibri" w:cs="Calibri" w:eastAsia="Calibri" w:hAnsi="Calibri"/>
          <w:b/>
          <w:bCs/>
          <w:color w:val="1a1a1a"/>
          <w:sz w:val="22"/>
          <w:szCs w:val="22"/>
        </w:rPr>
        <w:t xml:space="preserve">What would have to happen for it to be false? </w:t>
      </w:r>
      <w:r>
        <w:rPr>
          <w:rFonts w:ascii="Calibri" w:cs="Calibri" w:eastAsia="Calibri" w:hAnsi="Calibri"/>
          <w:color w:val="1a1a1a"/>
          <w:sz w:val="22"/>
          <w:szCs w:val="22"/>
        </w:rPr>
        <w:t xml:space="preserve">If I can imagine a case that would break it, and it still does not appear, the idea is strong. If nothing could break it, it is not a claim about the world — it is a way of speaking.</w:t>
      </w:r>
    </w:p>
    <w:p>
      <w:pPr>
        <w:pStyle w:val="Heading2"/>
        <w:spacing w:after="120" w:before="240"/>
      </w:pPr>
      <w:r>
        <w:rPr>
          <w:rFonts w:ascii="Georgia" w:cs="Georgia" w:eastAsia="Georgia" w:hAnsi="Georgia"/>
          <w:b/>
          <w:bCs/>
          <w:color w:val="16213e"/>
          <w:sz w:val="26"/>
          <w:szCs w:val="26"/>
        </w:rPr>
        <w:t xml:space="preserve">The filter applied, live</w:t>
      </w:r>
    </w:p>
    <w:p>
      <w:pPr>
        <w:spacing w:after="140" w:line="276"/>
        <w:jc w:val="both"/>
      </w:pPr>
      <w:r>
        <w:rPr>
          <w:rFonts w:ascii="Calibri" w:cs="Calibri" w:eastAsia="Calibri" w:hAnsi="Calibri"/>
          <w:color w:val="1a1a1a"/>
          <w:sz w:val="22"/>
          <w:szCs w:val="22"/>
        </w:rPr>
        <w:t xml:space="preserve">Two real examples from this exploration show the difference better than any explanation. Both felt equally revealing when first stated. Only one survived.</w:t>
      </w:r>
    </w:p>
    <w:p>
      <w:pPr>
        <w:spacing w:after="140" w:line="276"/>
        <w:jc w:val="both"/>
      </w:pPr>
      <w:r>
        <w:rPr>
          <w:rFonts w:ascii="Calibri" w:cs="Calibri" w:eastAsia="Calibri" w:hAnsi="Calibri"/>
          <w:b/>
          <w:bCs/>
          <w:color w:val="1a1a1a"/>
          <w:sz w:val="22"/>
          <w:szCs w:val="22"/>
        </w:rPr>
        <w:t xml:space="preserve">An example that broke — “excess brings you closer to destruction”: </w:t>
      </w:r>
      <w:r>
        <w:rPr>
          <w:rFonts w:ascii="Calibri" w:cs="Calibri" w:eastAsia="Calibri" w:hAnsi="Calibri"/>
          <w:color w:val="1a1a1a"/>
          <w:sz w:val="22"/>
          <w:szCs w:val="22"/>
        </w:rPr>
        <w:t xml:space="preserve">a cancer cell, a black hole, a dictator. All three end in collapse, yes. But what fails in each is different: cancer is a broken brake on reproduction; a black hole is a threshold of physical density; a dictator is an absence of counterweights. “Excess of force” was not a mechanism — it was a label stuck on top of three different mechanisms to make them rhyme. And it fails question 3: many “excesses” strengthen rather than destroy (excess of biodiversity, of redundancy, of neural connections). The phrase felt like a cosmic law; it was a selection of the cases that confirmed it and a blindness to those that denied it. This has a name: confirmation bias.</w:t>
      </w:r>
    </w:p>
    <w:p>
      <w:pPr>
        <w:spacing w:after="140" w:line="276"/>
        <w:jc w:val="both"/>
      </w:pPr>
      <w:r>
        <w:rPr>
          <w:rFonts w:ascii="Calibri" w:cs="Calibri" w:eastAsia="Calibri" w:hAnsi="Calibri"/>
          <w:b/>
          <w:bCs/>
          <w:color w:val="1a1a1a"/>
          <w:sz w:val="22"/>
          <w:szCs w:val="22"/>
        </w:rPr>
        <w:t xml:space="preserve">What did survive, once reformulated: </w:t>
      </w:r>
      <w:r>
        <w:rPr>
          <w:rFonts w:ascii="Calibri" w:cs="Calibri" w:eastAsia="Calibri" w:hAnsi="Calibri"/>
          <w:color w:val="1a1a1a"/>
          <w:sz w:val="22"/>
          <w:szCs w:val="22"/>
        </w:rPr>
        <w:t xml:space="preserve">“failure of regulation.” If, instead of “excess,” we say that cancer and dictatorship are both a system that lost its self-regulation mechanism, the connection improves — because it now names a mechanism, and moreover it pays off: in both cases the real solution is not to apply more counter-force (more brutal chemo, more repression) but to restore the regulation mechanism that failed. That transfer from one domain to another is a non-obvious prediction. There the abstraction earned its place.</w:t>
      </w:r>
    </w:p>
    <w:p>
      <w:pPr>
        <w:spacing w:after="140" w:line="276"/>
        <w:jc w:val="both"/>
      </w:pPr>
      <w:r>
        <w:rPr>
          <w:rFonts w:ascii="Calibri" w:cs="Calibri" w:eastAsia="Calibri" w:hAnsi="Calibri"/>
          <w:b/>
          <w:bCs/>
          <w:color w:val="1a1a1a"/>
          <w:sz w:val="22"/>
          <w:szCs w:val="22"/>
        </w:rPr>
        <w:t xml:space="preserve">The trap of abstracting: </w:t>
      </w:r>
      <w:r>
        <w:rPr>
          <w:rFonts w:ascii="Calibri" w:cs="Calibri" w:eastAsia="Calibri" w:hAnsi="Calibri"/>
          <w:color w:val="1a1a1a"/>
          <w:sz w:val="22"/>
          <w:szCs w:val="22"/>
        </w:rPr>
        <w:t xml:space="preserve">there is an extra caution this example teaches. Climbing in abstraction until two things coincide almost always works — climb high enough and everything is “a process that changes.” So the right question is not “can I find a level where they coincide?” (the answer is always yes), but “does coinciding at that level let me predict something I didn't know?” Abstracting is a bet: you win it when the abstract level pays off with a prediction or a transfer; you lose it when it only produces a sense of depth.</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Part IV — The open question (the potential contribution)</w:t>
      </w:r>
    </w:p>
    <w:p>
      <w:pPr>
        <w:spacing w:after="140" w:line="276"/>
        <w:jc w:val="both"/>
      </w:pPr>
      <w:r>
        <w:rPr>
          <w:rFonts w:ascii="Calibri" w:cs="Calibri" w:eastAsia="Calibri" w:hAnsi="Calibri"/>
          <w:color w:val="1a1a1a"/>
          <w:sz w:val="22"/>
          <w:szCs w:val="22"/>
        </w:rPr>
        <w:t xml:space="preserve">Here is what, after passing the filter, remained standing as genuinely unresolved. It is not an answer. It is a question sharpened to the point where it can be worked on. For an academic reader, this is the section that matters; for anyone else, it is the part where you can see what “leaving something that can be developed” means.</w:t>
      </w:r>
    </w:p>
    <w:p>
      <w:pPr>
        <w:pStyle w:val="Heading2"/>
        <w:spacing w:after="120" w:before="240"/>
      </w:pPr>
      <w:r>
        <w:rPr>
          <w:rFonts w:ascii="Georgia" w:cs="Georgia" w:eastAsia="Georgia" w:hAnsi="Georgia"/>
          <w:b/>
          <w:bCs/>
          <w:color w:val="16213e"/>
          <w:sz w:val="26"/>
          <w:szCs w:val="26"/>
        </w:rPr>
        <w:t xml:space="preserve">The problem: who draws the first distinction?</w:t>
      </w:r>
    </w:p>
    <w:p>
      <w:pPr>
        <w:spacing w:after="140" w:line="276"/>
        <w:jc w:val="both"/>
      </w:pPr>
      <w:r>
        <w:rPr>
          <w:rFonts w:ascii="Calibri" w:cs="Calibri" w:eastAsia="Calibri" w:hAnsi="Calibri"/>
          <w:color w:val="1a1a1a"/>
          <w:sz w:val="22"/>
          <w:szCs w:val="22"/>
        </w:rPr>
        <w:t xml:space="preserve">If everything we know is distinctions, the very first one cannot have been drawn by someone who already distinguished — that would lead to an infinite regress (and who distinguished the one who distinguishes? and that one?). The problem has three famous historical answers, and the revealing thing is that all three, looked at closely, </w:t>
      </w:r>
      <w:r>
        <w:rPr>
          <w:rFonts w:ascii="Calibri" w:cs="Calibri" w:eastAsia="Calibri" w:hAnsi="Calibri"/>
          <w:b/>
          <w:bCs/>
          <w:color w:val="1a1a1a"/>
          <w:sz w:val="22"/>
          <w:szCs w:val="22"/>
        </w:rPr>
        <w:t xml:space="preserve">dodge the question rather than answer it</w:t>
      </w:r>
      <w:r>
        <w:rPr>
          <w:rFonts w:ascii="Calibri" w:cs="Calibri" w:eastAsia="Calibri" w:hAnsi="Calibri"/>
          <w:color w:val="1a1a1a"/>
          <w:sz w:val="22"/>
          <w:szCs w:val="22"/>
        </w:rPr>
        <w:t xml:space="preserve">:</w:t>
      </w:r>
    </w:p>
    <w:p>
      <w:pPr>
        <w:pStyle w:val="ListParagraph"/>
        <w:numPr>
          <w:ilvl w:val="0"/>
          <w:numId w:val="3"/>
        </w:numPr>
        <w:spacing w:after="90" w:line="268"/>
      </w:pPr>
      <w:r>
        <w:rPr>
          <w:rFonts w:ascii="Calibri" w:cs="Calibri" w:eastAsia="Calibri" w:hAnsi="Calibri"/>
          <w:b/>
          <w:bCs/>
          <w:color w:val="1a1a1a"/>
          <w:sz w:val="22"/>
          <w:szCs w:val="22"/>
        </w:rPr>
        <w:t xml:space="preserve">Spencer-Brown </w:t>
      </w:r>
      <w:r>
        <w:rPr>
          <w:rFonts w:ascii="Calibri" w:cs="Calibri" w:eastAsia="Calibri" w:hAnsi="Calibri"/>
          <w:color w:val="1a1a1a"/>
          <w:sz w:val="22"/>
          <w:szCs w:val="22"/>
        </w:rPr>
        <w:t xml:space="preserve">turns it into an axiom: “there can be no distinction without motive.” That is, he smuggles in an observer with an intention. He does not resolve it — he presupposes it.</w:t>
      </w:r>
    </w:p>
    <w:p>
      <w:pPr>
        <w:pStyle w:val="ListParagraph"/>
        <w:numPr>
          <w:ilvl w:val="0"/>
          <w:numId w:val="3"/>
        </w:numPr>
        <w:spacing w:after="90" w:line="268"/>
      </w:pPr>
      <w:r>
        <w:rPr>
          <w:rFonts w:ascii="Calibri" w:cs="Calibri" w:eastAsia="Calibri" w:hAnsi="Calibri"/>
          <w:b/>
          <w:bCs/>
          <w:color w:val="1a1a1a"/>
          <w:sz w:val="22"/>
          <w:szCs w:val="22"/>
        </w:rPr>
        <w:t xml:space="preserve">Luhmann </w:t>
      </w:r>
      <w:r>
        <w:rPr>
          <w:rFonts w:ascii="Calibri" w:cs="Calibri" w:eastAsia="Calibri" w:hAnsi="Calibri"/>
          <w:color w:val="1a1a1a"/>
          <w:sz w:val="22"/>
          <w:szCs w:val="22"/>
        </w:rPr>
        <w:t xml:space="preserve">dissolves it: the observer does not precede the distinction but is what appears upon using it. And he adds that every system has a “blind spot” — it cannot observe its own founding unity from within. He declares the question structurally unobservable rather than answering it.</w:t>
      </w:r>
    </w:p>
    <w:p>
      <w:pPr>
        <w:pStyle w:val="ListParagraph"/>
        <w:numPr>
          <w:ilvl w:val="0"/>
          <w:numId w:val="3"/>
        </w:numPr>
        <w:spacing w:after="90" w:line="268"/>
      </w:pPr>
      <w:r>
        <w:rPr>
          <w:rFonts w:ascii="Calibri" w:cs="Calibri" w:eastAsia="Calibri" w:hAnsi="Calibri"/>
          <w:b/>
          <w:bCs/>
          <w:color w:val="1a1a1a"/>
          <w:sz w:val="22"/>
          <w:szCs w:val="22"/>
        </w:rPr>
        <w:t xml:space="preserve">Varela </w:t>
      </w:r>
      <w:r>
        <w:rPr>
          <w:rFonts w:ascii="Calibri" w:cs="Calibri" w:eastAsia="Calibri" w:hAnsi="Calibri"/>
          <w:color w:val="1a1a1a"/>
          <w:sz w:val="22"/>
          <w:szCs w:val="22"/>
        </w:rPr>
        <w:t xml:space="preserve">answers with autopoiesis: no one draws the boundary; the system produces itself and the boundary is a by-product of that self-sustaining loop. But he himself confessed two limits — that it is “a metaphor” for the cellular, and that it works only for systems with a physical boundary (a membrane). He left it explicitly open for everything else: societies, minds, institutions.</w:t>
      </w:r>
    </w:p>
    <w:p>
      <w:pPr>
        <w:pStyle w:val="Heading2"/>
        <w:spacing w:after="120" w:before="240"/>
      </w:pPr>
      <w:r>
        <w:rPr>
          <w:rFonts w:ascii="Georgia" w:cs="Georgia" w:eastAsia="Georgia" w:hAnsi="Georgia"/>
          <w:b/>
          <w:bCs/>
          <w:color w:val="16213e"/>
          <w:sz w:val="26"/>
          <w:szCs w:val="26"/>
        </w:rPr>
        <w:t xml:space="preserve">The reframing: perhaps the question is badly posed</w:t>
      </w:r>
    </w:p>
    <w:p>
      <w:pPr>
        <w:spacing w:after="140" w:line="276"/>
        <w:jc w:val="both"/>
      </w:pPr>
      <w:r>
        <w:rPr>
          <w:rFonts w:ascii="Calibri" w:cs="Calibri" w:eastAsia="Calibri" w:hAnsi="Calibri"/>
          <w:color w:val="1a1a1a"/>
          <w:sz w:val="22"/>
          <w:szCs w:val="22"/>
        </w:rPr>
        <w:t xml:space="preserve">Placing the three answers side by side revealed a pattern none of them alone made visible. All three, to escape the infinite regress, use the same move: a self-reference that stabilizes in time. And it turns out that the </w:t>
      </w:r>
      <w:r>
        <w:rPr>
          <w:rFonts w:ascii="Calibri" w:cs="Calibri" w:eastAsia="Calibri" w:hAnsi="Calibri"/>
          <w:b/>
          <w:bCs/>
          <w:color w:val="1a1a1a"/>
          <w:sz w:val="22"/>
          <w:szCs w:val="22"/>
        </w:rPr>
        <w:t xml:space="preserve">only physically known way</w:t>
      </w:r>
      <w:r>
        <w:rPr>
          <w:rFonts w:ascii="Calibri" w:cs="Calibri" w:eastAsia="Calibri" w:hAnsi="Calibri"/>
          <w:color w:val="1a1a1a"/>
          <w:sz w:val="22"/>
          <w:szCs w:val="22"/>
        </w:rPr>
        <w:t xml:space="preserve"> to have genuine self-reference without infinite regress is a </w:t>
      </w:r>
      <w:r>
        <w:rPr>
          <w:rFonts w:ascii="Calibri" w:cs="Calibri" w:eastAsia="Calibri" w:hAnsi="Calibri"/>
          <w:b/>
          <w:bCs/>
          <w:color w:val="1a1a1a"/>
          <w:sz w:val="22"/>
          <w:szCs w:val="22"/>
        </w:rPr>
        <w:t xml:space="preserve">pair that co-defines itself</w:t>
      </w:r>
      <w:r>
        <w:rPr>
          <w:rFonts w:ascii="Calibri" w:cs="Calibri" w:eastAsia="Calibri" w:hAnsi="Calibri"/>
          <w:color w:val="1a1a1a"/>
          <w:sz w:val="22"/>
          <w:szCs w:val="22"/>
        </w:rPr>
        <w:t xml:space="preserve">. DNA does not copy itself alone: it needs two complementary strands that copy each other. “Quines” (programs that print their own code) are built from two parts that reference each other. A painter cannot paint a picture that includes himself painting it to infinity; but two painters can portray one another.</w:t>
      </w:r>
    </w:p>
    <w:p>
      <w:pPr>
        <w:spacing w:after="140" w:line="276"/>
        <w:jc w:val="both"/>
      </w:pPr>
      <w:r>
        <w:rPr>
          <w:rFonts w:ascii="Calibri" w:cs="Calibri" w:eastAsia="Calibri" w:hAnsi="Calibri"/>
          <w:b/>
          <w:bCs/>
          <w:color w:val="1a1a1a"/>
          <w:sz w:val="22"/>
          <w:szCs w:val="22"/>
        </w:rPr>
        <w:t xml:space="preserve">Hence the hypothesis, which is the potential contribution of this whole exercise: </w:t>
      </w:r>
      <w:r>
        <w:rPr>
          <w:rFonts w:ascii="Calibri" w:cs="Calibri" w:eastAsia="Calibri" w:hAnsi="Calibri"/>
          <w:color w:val="1a1a1a"/>
          <w:sz w:val="22"/>
          <w:szCs w:val="22"/>
        </w:rPr>
        <w:t xml:space="preserve">there is no solitary “first distinction.” The minimum that can exist is not a one that distinguishes itself from nothing, but a </w:t>
      </w:r>
      <w:r>
        <w:rPr>
          <w:rFonts w:ascii="Calibri" w:cs="Calibri" w:eastAsia="Calibri" w:hAnsi="Calibri"/>
          <w:b/>
          <w:bCs/>
          <w:color w:val="1a1a1a"/>
          <w:sz w:val="22"/>
          <w:szCs w:val="22"/>
        </w:rPr>
        <w:t xml:space="preserve">minimal pair that co-emerges</w:t>
      </w:r>
      <w:r>
        <w:rPr>
          <w:rFonts w:ascii="Calibri" w:cs="Calibri" w:eastAsia="Calibri" w:hAnsi="Calibri"/>
          <w:color w:val="1a1a1a"/>
          <w:sz w:val="22"/>
          <w:szCs w:val="22"/>
        </w:rPr>
        <w:t xml:space="preserve">, where each term has identity only in relation to the other. The “first distinction” would not be an act of origin, but a relation without origin — two sides that hold each other up, neither first.</w:t>
      </w:r>
    </w:p>
    <w:p>
      <w:pPr>
        <w:spacing w:after="140" w:line="276"/>
        <w:jc w:val="both"/>
      </w:pPr>
      <w:r>
        <w:rPr>
          <w:rFonts w:ascii="Calibri" w:cs="Calibri" w:eastAsia="Calibri" w:hAnsi="Calibri"/>
          <w:color w:val="1a1a1a"/>
          <w:sz w:val="22"/>
          <w:szCs w:val="22"/>
        </w:rPr>
        <w:t xml:space="preserve">This connects directly with Nāgārjuna's Buddhist intuition (nothing has inherent, independent existence; everything is dependent co-arising) and with Rovelli's relational quantum mechanics (properties exist only in relation). But it adds something neither of them framed this way: co-emergence would not be merely a beautiful description of reality, but a </w:t>
      </w:r>
      <w:r>
        <w:rPr>
          <w:rFonts w:ascii="Calibri" w:cs="Calibri" w:eastAsia="Calibri" w:hAnsi="Calibri"/>
          <w:b/>
          <w:bCs/>
          <w:color w:val="1a1a1a"/>
          <w:sz w:val="22"/>
          <w:szCs w:val="22"/>
        </w:rPr>
        <w:t xml:space="preserve">structural condition</w:t>
      </w:r>
      <w:r>
        <w:rPr>
          <w:rFonts w:ascii="Calibri" w:cs="Calibri" w:eastAsia="Calibri" w:hAnsi="Calibri"/>
          <w:color w:val="1a1a1a"/>
          <w:sz w:val="22"/>
          <w:szCs w:val="22"/>
        </w:rPr>
        <w:t xml:space="preserve"> — the only way for self-reference to be possible without collapsing into infinite regress.</w:t>
      </w:r>
    </w:p>
    <w:p>
      <w:pPr>
        <w:pStyle w:val="Heading2"/>
        <w:spacing w:after="120" w:before="240"/>
      </w:pPr>
      <w:r>
        <w:rPr>
          <w:rFonts w:ascii="Georgia" w:cs="Georgia" w:eastAsia="Georgia" w:hAnsi="Georgia"/>
          <w:b/>
          <w:bCs/>
          <w:color w:val="16213e"/>
          <w:sz w:val="26"/>
          <w:szCs w:val="26"/>
        </w:rPr>
        <w:t xml:space="preserve">Why this could be valuable, and what it still lacks</w:t>
      </w:r>
    </w:p>
    <w:p>
      <w:pPr>
        <w:spacing w:after="140" w:line="276"/>
        <w:jc w:val="both"/>
      </w:pPr>
      <w:r>
        <w:rPr>
          <w:rFonts w:ascii="Calibri" w:cs="Calibri" w:eastAsia="Calibri" w:hAnsi="Calibri"/>
          <w:color w:val="1a1a1a"/>
          <w:sz w:val="22"/>
          <w:szCs w:val="22"/>
        </w:rPr>
        <w:t xml:space="preserve">It would be valuable because it does not re-name a problem: it </w:t>
      </w:r>
      <w:r>
        <w:rPr>
          <w:rFonts w:ascii="Calibri" w:cs="Calibri" w:eastAsia="Calibri" w:hAnsi="Calibri"/>
          <w:b/>
          <w:bCs/>
          <w:color w:val="1a1a1a"/>
          <w:sz w:val="22"/>
          <w:szCs w:val="22"/>
        </w:rPr>
        <w:t xml:space="preserve">reframes</w:t>
      </w:r>
      <w:r>
        <w:rPr>
          <w:rFonts w:ascii="Calibri" w:cs="Calibri" w:eastAsia="Calibri" w:hAnsi="Calibri"/>
          <w:color w:val="1a1a1a"/>
          <w:sz w:val="22"/>
          <w:szCs w:val="22"/>
        </w:rPr>
        <w:t xml:space="preserve"> it. It suggests that sixty years of searching for “who draws the first distinction” may have failed to find an answer because the question contains a false assumption — that there is a first one, and only one.</w:t>
      </w:r>
    </w:p>
    <w:p>
      <w:pPr>
        <w:spacing w:after="140" w:line="276"/>
        <w:jc w:val="both"/>
      </w:pPr>
      <w:r>
        <w:rPr>
          <w:rFonts w:ascii="Calibri" w:cs="Calibri" w:eastAsia="Calibri" w:hAnsi="Calibri"/>
          <w:b/>
          <w:bCs/>
          <w:color w:val="1a1a1a"/>
          <w:sz w:val="22"/>
          <w:szCs w:val="22"/>
        </w:rPr>
        <w:t xml:space="preserve">But — and this is the filter applied to one's own favorite idea — it is not yet a contribution, it is a candidate. </w:t>
      </w:r>
      <w:r>
        <w:rPr>
          <w:rFonts w:ascii="Calibri" w:cs="Calibri" w:eastAsia="Calibri" w:hAnsi="Calibri"/>
          <w:color w:val="1a1a1a"/>
          <w:sz w:val="22"/>
          <w:szCs w:val="22"/>
        </w:rPr>
        <w:t xml:space="preserve">To move from an elegant intuition to something defensible, it lacks exactly what we demand of any other connection:</w:t>
      </w:r>
    </w:p>
    <w:p>
      <w:pPr>
        <w:pStyle w:val="ListParagraph"/>
        <w:numPr>
          <w:ilvl w:val="0"/>
          <w:numId w:val="3"/>
        </w:numPr>
        <w:spacing w:after="90" w:line="268"/>
      </w:pPr>
      <w:r>
        <w:rPr>
          <w:rFonts w:ascii="Calibri" w:cs="Calibri" w:eastAsia="Calibri" w:hAnsi="Calibri"/>
          <w:color w:val="1a1a1a"/>
          <w:sz w:val="22"/>
          <w:szCs w:val="22"/>
        </w:rPr>
        <w:t xml:space="preserve">An operational definition, without metaphor, of what counts as a “pair that co-defines itself” versus two things that merely interact.</w:t>
      </w:r>
    </w:p>
    <w:p>
      <w:pPr>
        <w:pStyle w:val="ListParagraph"/>
        <w:numPr>
          <w:ilvl w:val="0"/>
          <w:numId w:val="3"/>
        </w:numPr>
        <w:spacing w:after="90" w:line="268"/>
      </w:pPr>
      <w:r>
        <w:rPr>
          <w:rFonts w:ascii="Calibri" w:cs="Calibri" w:eastAsia="Calibri" w:hAnsi="Calibri"/>
          <w:color w:val="1a1a1a"/>
          <w:sz w:val="22"/>
          <w:szCs w:val="22"/>
        </w:rPr>
        <w:t xml:space="preserve">A prediction that the existing frameworks (Spencer-Brown, Luhmann, Varela, Nāgārjuna) do not already make. Candidate to test: that it would be impossible to find a system with a genuine point of view that is internally indivisible, with no internal pair holding itself up.</w:t>
      </w:r>
    </w:p>
    <w:p>
      <w:pPr>
        <w:pStyle w:val="ListParagraph"/>
        <w:numPr>
          <w:ilvl w:val="0"/>
          <w:numId w:val="3"/>
        </w:numPr>
        <w:spacing w:after="90" w:line="268"/>
      </w:pPr>
      <w:r>
        <w:rPr>
          <w:rFonts w:ascii="Calibri" w:cs="Calibri" w:eastAsia="Calibri" w:hAnsi="Calibri"/>
          <w:color w:val="1a1a1a"/>
          <w:sz w:val="22"/>
          <w:szCs w:val="22"/>
        </w:rPr>
        <w:t xml:space="preserve">A failure condition: if such a system with perspective and no internal duality appears, the hypothesis breaks.</w:t>
      </w:r>
    </w:p>
    <w:p>
      <w:pPr>
        <w:pStyle w:val="ListParagraph"/>
        <w:numPr>
          <w:ilvl w:val="0"/>
          <w:numId w:val="3"/>
        </w:numPr>
        <w:spacing w:after="90" w:line="268"/>
      </w:pPr>
      <w:r>
        <w:rPr>
          <w:rFonts w:ascii="Calibri" w:cs="Calibri" w:eastAsia="Calibri" w:hAnsi="Calibri"/>
          <w:color w:val="1a1a1a"/>
          <w:sz w:val="22"/>
          <w:szCs w:val="22"/>
        </w:rPr>
        <w:t xml:space="preserve">A concrete anchor in at least one field — neuroscience, dynamical systems, information physics, or AI — where the idea can be measured rather than only contemplated.</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General conclusions</w:t>
      </w:r>
    </w:p>
    <w:p>
      <w:pPr>
        <w:pStyle w:val="ListParagraph"/>
        <w:numPr>
          <w:ilvl w:val="0"/>
          <w:numId w:val="4"/>
        </w:numPr>
        <w:spacing w:after="110" w:line="268"/>
      </w:pPr>
      <w:r>
        <w:rPr>
          <w:rFonts w:ascii="Calibri" w:cs="Calibri" w:eastAsia="Calibri" w:hAnsi="Calibri"/>
          <w:b/>
          <w:bCs/>
          <w:color w:val="1a1a1a"/>
          <w:sz w:val="22"/>
          <w:szCs w:val="22"/>
        </w:rPr>
        <w:t xml:space="preserve">Good intuitions are often rediscoveries — and that is fine. </w:t>
      </w:r>
      <w:r>
        <w:rPr>
          <w:rFonts w:ascii="Calibri" w:cs="Calibri" w:eastAsia="Calibri" w:hAnsi="Calibri"/>
          <w:color w:val="1a1a1a"/>
          <w:sz w:val="22"/>
          <w:szCs w:val="22"/>
        </w:rPr>
        <w:t xml:space="preserve">Reaching, on your own, an idea a great thinker already developed is not failure: it is evidence that the instinct points to real places. The value is not in being first, but in knowing how to tell when you are and when you are not.</w:t>
      </w:r>
    </w:p>
    <w:p>
      <w:pPr>
        <w:pStyle w:val="ListParagraph"/>
        <w:numPr>
          <w:ilvl w:val="0"/>
          <w:numId w:val="4"/>
        </w:numPr>
        <w:spacing w:after="110" w:line="268"/>
      </w:pPr>
      <w:r>
        <w:rPr>
          <w:rFonts w:ascii="Calibri" w:cs="Calibri" w:eastAsia="Calibri" w:hAnsi="Calibri"/>
          <w:b/>
          <w:bCs/>
          <w:color w:val="1a1a1a"/>
          <w:sz w:val="22"/>
          <w:szCs w:val="22"/>
        </w:rPr>
        <w:t xml:space="preserve">The feeling of revelation is proof of nothing. </w:t>
      </w:r>
      <w:r>
        <w:rPr>
          <w:rFonts w:ascii="Calibri" w:cs="Calibri" w:eastAsia="Calibri" w:hAnsi="Calibri"/>
          <w:color w:val="1a1a1a"/>
          <w:sz w:val="22"/>
          <w:szCs w:val="22"/>
        </w:rPr>
        <w:t xml:space="preserve">The “click” feels identical when you are right and when you fool yourself. Any idea to be taken seriously must survive three questions: do they share a mechanism or only an appearance? can I name the common rule? what would falsify it?</w:t>
      </w:r>
    </w:p>
    <w:p>
      <w:pPr>
        <w:pStyle w:val="ListParagraph"/>
        <w:numPr>
          <w:ilvl w:val="0"/>
          <w:numId w:val="4"/>
        </w:numPr>
        <w:spacing w:after="110" w:line="268"/>
      </w:pPr>
      <w:r>
        <w:rPr>
          <w:rFonts w:ascii="Calibri" w:cs="Calibri" w:eastAsia="Calibri" w:hAnsi="Calibri"/>
          <w:b/>
          <w:bCs/>
          <w:color w:val="1a1a1a"/>
          <w:sz w:val="22"/>
          <w:szCs w:val="22"/>
        </w:rPr>
        <w:t xml:space="preserve">Abstracting is a bet, not an automatic virtue. </w:t>
      </w:r>
      <w:r>
        <w:rPr>
          <w:rFonts w:ascii="Calibri" w:cs="Calibri" w:eastAsia="Calibri" w:hAnsi="Calibri"/>
          <w:color w:val="1a1a1a"/>
          <w:sz w:val="22"/>
          <w:szCs w:val="22"/>
        </w:rPr>
        <w:t xml:space="preserve">Climbing a level until two things coincide almost always works; so it is only worthwhile when the abstract level pays off with a prediction or a real transfer between domains.</w:t>
      </w:r>
    </w:p>
    <w:p>
      <w:pPr>
        <w:pStyle w:val="ListParagraph"/>
        <w:numPr>
          <w:ilvl w:val="0"/>
          <w:numId w:val="4"/>
        </w:numPr>
        <w:spacing w:after="110" w:line="268"/>
      </w:pPr>
      <w:r>
        <w:rPr>
          <w:rFonts w:ascii="Calibri" w:cs="Calibri" w:eastAsia="Calibri" w:hAnsi="Calibri"/>
          <w:b/>
          <w:bCs/>
          <w:color w:val="1a1a1a"/>
          <w:sz w:val="22"/>
          <w:szCs w:val="22"/>
        </w:rPr>
        <w:t xml:space="preserve">A very old, unsolved problem is sometimes badly posed. </w:t>
      </w:r>
      <w:r>
        <w:rPr>
          <w:rFonts w:ascii="Calibri" w:cs="Calibri" w:eastAsia="Calibri" w:hAnsi="Calibri"/>
          <w:color w:val="1a1a1a"/>
          <w:sz w:val="22"/>
          <w:szCs w:val="22"/>
        </w:rPr>
        <w:t xml:space="preserve">“Who drew the first distinction?” may have no answer because it presupposes a first one, and only one. Known self-reference always comes in pairs that co-define each other.</w:t>
      </w:r>
    </w:p>
    <w:p>
      <w:pPr>
        <w:pBdr>
          <w:bottom w:val="single" w:color="cccccc" w:sz="6" w:space="4"/>
        </w:pBdr>
        <w:spacing w:after="80" w:before="80"/>
      </w:pPr>
      <w:r>
        <w:rPr>
          <w:sz w:val="2"/>
          <w:szCs w:val="2"/>
        </w:rPr>
        <w:t xml:space="preserve"/>
      </w:r>
    </w:p>
    <w:p>
      <w:r>
        <w:br w:type="page"/>
      </w:r>
    </w:p>
    <w:p>
      <w:pPr>
        <w:pStyle w:val="Heading1"/>
        <w:spacing w:after="160" w:before="320"/>
      </w:pPr>
      <w:r>
        <w:rPr>
          <w:rFonts w:ascii="Georgia" w:cs="Georgia" w:eastAsia="Georgia" w:hAnsi="Georgia"/>
          <w:b/>
          <w:bCs/>
          <w:color w:val="1a1a2e"/>
          <w:sz w:val="32"/>
          <w:szCs w:val="32"/>
        </w:rPr>
        <w:t xml:space="preserve">What comes next — a detailed roadmap</w:t>
      </w:r>
    </w:p>
    <w:p>
      <w:pPr>
        <w:spacing w:after="140" w:line="276"/>
        <w:jc w:val="both"/>
      </w:pPr>
      <w:r>
        <w:rPr>
          <w:rFonts w:ascii="Calibri" w:cs="Calibri" w:eastAsia="Calibri" w:hAnsi="Calibri"/>
          <w:color w:val="1a1a1a"/>
          <w:sz w:val="22"/>
          <w:szCs w:val="22"/>
        </w:rPr>
        <w:t xml:space="preserve">This is the concrete work to be done, in order. It is meant so that the next step is clear without guesswork. The first steps are deliberately solitary.</w:t>
      </w:r>
    </w:p>
    <w:p>
      <w:pPr>
        <w:pStyle w:val="Heading2"/>
        <w:spacing w:after="120" w:before="240"/>
      </w:pPr>
      <w:r>
        <w:rPr>
          <w:rFonts w:ascii="Georgia" w:cs="Georgia" w:eastAsia="Georgia" w:hAnsi="Georgia"/>
          <w:b/>
          <w:bCs/>
          <w:color w:val="16213e"/>
          <w:sz w:val="26"/>
          <w:szCs w:val="26"/>
        </w:rPr>
        <w:t xml:space="preserve">Step 1 — Read to find the edge of the known (2 to 4 weeks)</w:t>
      </w:r>
    </w:p>
    <w:p>
      <w:pPr>
        <w:spacing w:after="140" w:line="276"/>
        <w:jc w:val="both"/>
      </w:pPr>
      <w:r>
        <w:rPr>
          <w:rFonts w:ascii="Calibri" w:cs="Calibri" w:eastAsia="Calibri" w:hAnsi="Calibri"/>
          <w:color w:val="1a1a1a"/>
          <w:sz w:val="22"/>
          <w:szCs w:val="22"/>
        </w:rPr>
        <w:t xml:space="preserve">The purpose of reading is not learning for its own sake: it is to stop reinventing what is already written, so as to find the exact point where the written record ends. There, and only there, can intuition contribute. Suggested order, from most accessible to most technical:</w:t>
      </w:r>
    </w:p>
    <w:p>
      <w:pPr>
        <w:pStyle w:val="ListParagraph"/>
        <w:numPr>
          <w:ilvl w:val="0"/>
          <w:numId w:val="3"/>
        </w:numPr>
        <w:spacing w:after="90" w:line="268"/>
      </w:pPr>
      <w:r>
        <w:rPr>
          <w:rFonts w:ascii="Calibri" w:cs="Calibri" w:eastAsia="Calibri" w:hAnsi="Calibri"/>
          <w:b/>
          <w:bCs/>
          <w:color w:val="1a1a1a"/>
          <w:sz w:val="22"/>
          <w:szCs w:val="22"/>
        </w:rPr>
        <w:t xml:space="preserve">Anil Seth, Being You. </w:t>
      </w:r>
      <w:r>
        <w:rPr>
          <w:rFonts w:ascii="Calibri" w:cs="Calibri" w:eastAsia="Calibri" w:hAnsi="Calibri"/>
          <w:color w:val="1a1a1a"/>
          <w:sz w:val="22"/>
          <w:szCs w:val="22"/>
        </w:rPr>
        <w:t xml:space="preserve">The brain that predicts rather than perceives. The gentlest way in.</w:t>
      </w:r>
    </w:p>
    <w:p>
      <w:pPr>
        <w:pStyle w:val="ListParagraph"/>
        <w:numPr>
          <w:ilvl w:val="0"/>
          <w:numId w:val="3"/>
        </w:numPr>
        <w:spacing w:after="90" w:line="268"/>
      </w:pPr>
      <w:r>
        <w:rPr>
          <w:rFonts w:ascii="Calibri" w:cs="Calibri" w:eastAsia="Calibri" w:hAnsi="Calibri"/>
          <w:b/>
          <w:bCs/>
          <w:color w:val="1a1a1a"/>
          <w:sz w:val="22"/>
          <w:szCs w:val="22"/>
        </w:rPr>
        <w:t xml:space="preserve">Clark &amp; Chalmers, “The Extended Mind” (1998). </w:t>
      </w:r>
      <w:r>
        <w:rPr>
          <w:rFonts w:ascii="Calibri" w:cs="Calibri" w:eastAsia="Calibri" w:hAnsi="Calibri"/>
          <w:color w:val="1a1a1a"/>
          <w:sz w:val="22"/>
          <w:szCs w:val="22"/>
        </w:rPr>
        <w:t xml:space="preserve">Ten pages, free online. The source of the mind-extended-into-the-phone idea.</w:t>
      </w:r>
    </w:p>
    <w:p>
      <w:pPr>
        <w:pStyle w:val="ListParagraph"/>
        <w:numPr>
          <w:ilvl w:val="0"/>
          <w:numId w:val="3"/>
        </w:numPr>
        <w:spacing w:after="90" w:line="268"/>
      </w:pPr>
      <w:r>
        <w:rPr>
          <w:rFonts w:ascii="Calibri" w:cs="Calibri" w:eastAsia="Calibri" w:hAnsi="Calibri"/>
          <w:b/>
          <w:bCs/>
          <w:color w:val="1a1a1a"/>
          <w:sz w:val="22"/>
          <w:szCs w:val="22"/>
        </w:rPr>
        <w:t xml:space="preserve">Maturana &amp; Varela, The Tree of Knowledge. </w:t>
      </w:r>
      <w:r>
        <w:rPr>
          <w:rFonts w:ascii="Calibri" w:cs="Calibri" w:eastAsia="Calibri" w:hAnsi="Calibri"/>
          <w:color w:val="1a1a1a"/>
          <w:sz w:val="22"/>
          <w:szCs w:val="22"/>
        </w:rPr>
        <w:t xml:space="preserve">Here is autopoiesis in full, along with its limit (the membrane).</w:t>
      </w:r>
    </w:p>
    <w:p>
      <w:pPr>
        <w:pStyle w:val="ListParagraph"/>
        <w:numPr>
          <w:ilvl w:val="0"/>
          <w:numId w:val="3"/>
        </w:numPr>
        <w:spacing w:after="90" w:line="268"/>
      </w:pPr>
      <w:r>
        <w:rPr>
          <w:rFonts w:ascii="Calibri" w:cs="Calibri" w:eastAsia="Calibri" w:hAnsi="Calibri"/>
          <w:b/>
          <w:bCs/>
          <w:color w:val="1a1a1a"/>
          <w:sz w:val="22"/>
          <w:szCs w:val="22"/>
        </w:rPr>
        <w:t xml:space="preserve">Carlo Rovelli, Helgoland </w:t>
      </w:r>
      <w:r>
        <w:rPr>
          <w:rFonts w:ascii="Calibri" w:cs="Calibri" w:eastAsia="Calibri" w:hAnsi="Calibri"/>
          <w:color w:val="1a1a1a"/>
          <w:sz w:val="22"/>
          <w:szCs w:val="22"/>
        </w:rPr>
        <w:t xml:space="preserve">— and especially his essay connecting relational quantum mechanics to Nāgārjuna. It is the exact bridge intuited here.</w:t>
      </w:r>
    </w:p>
    <w:p>
      <w:pPr>
        <w:pStyle w:val="ListParagraph"/>
        <w:numPr>
          <w:ilvl w:val="0"/>
          <w:numId w:val="3"/>
        </w:numPr>
        <w:spacing w:after="90" w:line="268"/>
      </w:pPr>
      <w:r>
        <w:rPr>
          <w:rFonts w:ascii="Calibri" w:cs="Calibri" w:eastAsia="Calibri" w:hAnsi="Calibri"/>
          <w:b/>
          <w:bCs/>
          <w:color w:val="1a1a1a"/>
          <w:sz w:val="22"/>
          <w:szCs w:val="22"/>
        </w:rPr>
        <w:t xml:space="preserve">On Spencer-Brown: </w:t>
      </w:r>
      <w:r>
        <w:rPr>
          <w:rFonts w:ascii="Calibri" w:cs="Calibri" w:eastAsia="Calibri" w:hAnsi="Calibri"/>
          <w:color w:val="1a1a1a"/>
          <w:sz w:val="22"/>
          <w:szCs w:val="22"/>
        </w:rPr>
        <w:t xml:space="preserve">do not read Laws of Form directly (it is very hard). Look for an introduction to the “re-entry of the form” and what it is for.</w:t>
      </w:r>
    </w:p>
    <w:p>
      <w:pPr>
        <w:pStyle w:val="Heading2"/>
        <w:spacing w:after="120" w:before="240"/>
      </w:pPr>
      <w:r>
        <w:rPr>
          <w:rFonts w:ascii="Georgia" w:cs="Georgia" w:eastAsia="Georgia" w:hAnsi="Georgia"/>
          <w:b/>
          <w:bCs/>
          <w:color w:val="16213e"/>
          <w:sz w:val="26"/>
          <w:szCs w:val="26"/>
        </w:rPr>
        <w:t xml:space="preserve">Step 2 — Record the edge, not the summary (during reading)</w:t>
      </w:r>
    </w:p>
    <w:p>
      <w:pPr>
        <w:spacing w:after="140" w:line="276"/>
        <w:jc w:val="both"/>
      </w:pPr>
      <w:r>
        <w:rPr>
          <w:rFonts w:ascii="Calibri" w:cs="Calibri" w:eastAsia="Calibri" w:hAnsi="Calibri"/>
          <w:color w:val="1a1a1a"/>
          <w:sz w:val="22"/>
          <w:szCs w:val="22"/>
        </w:rPr>
        <w:t xml:space="preserve">While reading, do not summarize what they say. Note only one thing per author: where their own idea stops and they admit they go no further. Varela's membrane limit. Luhmann's blind spot. Spencer-Brown's unexplained “motive.” Those confessed limits are the map of uncharted territory. They are where something new might be.</w:t>
      </w:r>
    </w:p>
    <w:p>
      <w:pPr>
        <w:pStyle w:val="Heading2"/>
        <w:spacing w:after="120" w:before="240"/>
      </w:pPr>
      <w:r>
        <w:rPr>
          <w:rFonts w:ascii="Georgia" w:cs="Georgia" w:eastAsia="Georgia" w:hAnsi="Georgia"/>
          <w:b/>
          <w:bCs/>
          <w:color w:val="16213e"/>
          <w:sz w:val="26"/>
          <w:szCs w:val="26"/>
        </w:rPr>
        <w:t xml:space="preserve">Step 3 — Put the “minimal pair” hypothesis through the filter</w:t>
      </w:r>
    </w:p>
    <w:p>
      <w:pPr>
        <w:spacing w:after="140" w:line="276"/>
        <w:jc w:val="both"/>
      </w:pPr>
      <w:r>
        <w:rPr>
          <w:rFonts w:ascii="Calibri" w:cs="Calibri" w:eastAsia="Calibri" w:hAnsi="Calibri"/>
          <w:color w:val="1a1a1a"/>
          <w:sz w:val="22"/>
          <w:szCs w:val="22"/>
        </w:rPr>
        <w:t xml:space="preserve">Once the reading is done, return to this document's central hypothesis and attack it with the three questions, in earnest. Specifically, resolve:</w:t>
      </w:r>
    </w:p>
    <w:p>
      <w:pPr>
        <w:pStyle w:val="ListParagraph"/>
        <w:numPr>
          <w:ilvl w:val="0"/>
          <w:numId w:val="5"/>
        </w:numPr>
        <w:spacing w:after="110" w:line="268"/>
      </w:pPr>
      <w:r>
        <w:rPr>
          <w:rFonts w:ascii="Calibri" w:cs="Calibri" w:eastAsia="Calibri" w:hAnsi="Calibri"/>
          <w:color w:val="1a1a1a"/>
          <w:sz w:val="22"/>
          <w:szCs w:val="22"/>
        </w:rPr>
        <w:t xml:space="preserve">Define, without metaphor, what distinguishes a “pair that co-defines itself” from two things that merely interact. What does the DNA pair have that, say, two colliding stones do not?</w:t>
      </w:r>
    </w:p>
    <w:p>
      <w:pPr>
        <w:pStyle w:val="ListParagraph"/>
        <w:numPr>
          <w:ilvl w:val="0"/>
          <w:numId w:val="5"/>
        </w:numPr>
        <w:spacing w:after="110" w:line="268"/>
      </w:pPr>
      <w:r>
        <w:rPr>
          <w:rFonts w:ascii="Calibri" w:cs="Calibri" w:eastAsia="Calibri" w:hAnsi="Calibri"/>
          <w:color w:val="1a1a1a"/>
          <w:sz w:val="22"/>
          <w:szCs w:val="22"/>
        </w:rPr>
        <w:t xml:space="preserve">Actively hunt for the counterexample that breaks it: is there any system with a genuine point of view (a brain, an AI, a cell) that is truly indivisible, with no internal pair holding itself up? If you find one, the idea falls — and that is a result. If you don't find one after genuinely searching, the idea grows stronger.</w:t>
      </w:r>
    </w:p>
    <w:p>
      <w:pPr>
        <w:pStyle w:val="ListParagraph"/>
        <w:numPr>
          <w:ilvl w:val="0"/>
          <w:numId w:val="5"/>
        </w:numPr>
        <w:spacing w:after="110" w:line="268"/>
      </w:pPr>
      <w:r>
        <w:rPr>
          <w:rFonts w:ascii="Calibri" w:cs="Calibri" w:eastAsia="Calibri" w:hAnsi="Calibri"/>
          <w:color w:val="1a1a1a"/>
          <w:sz w:val="22"/>
          <w:szCs w:val="22"/>
        </w:rPr>
        <w:t xml:space="preserve">Choose ONE field to anchor it and measure something: neuroscience (does perspective require subsystems that model each other?), dynamical systems, or AI.</w:t>
      </w:r>
    </w:p>
    <w:p>
      <w:pPr>
        <w:pStyle w:val="Heading2"/>
        <w:spacing w:after="120" w:before="240"/>
      </w:pPr>
      <w:r>
        <w:rPr>
          <w:rFonts w:ascii="Georgia" w:cs="Georgia" w:eastAsia="Georgia" w:hAnsi="Georgia"/>
          <w:b/>
          <w:bCs/>
          <w:color w:val="16213e"/>
          <w:sz w:val="26"/>
          <w:szCs w:val="26"/>
        </w:rPr>
        <w:t xml:space="preserve">Step 4 — Write the short, attackable version (1 to 2 months later)</w:t>
      </w:r>
    </w:p>
    <w:p>
      <w:pPr>
        <w:spacing w:after="140" w:line="276"/>
        <w:jc w:val="both"/>
      </w:pPr>
      <w:r>
        <w:rPr>
          <w:rFonts w:ascii="Calibri" w:cs="Calibri" w:eastAsia="Calibri" w:hAnsi="Calibri"/>
          <w:color w:val="1a1a1a"/>
          <w:sz w:val="22"/>
          <w:szCs w:val="22"/>
        </w:rPr>
        <w:t xml:space="preserve">Not a treatise. A 3-to-5-page text that states the minimal co-emergent pair hypothesis, positions it against Spencer-Brown / Luhmann / Varela / Nāgārjuna, and — this is essential — says clearly what would falsify it. A text that invites others to try to knock it down. If it survives those attempts, there is something. That is the work of the “decade,” not of “day one.”</w:t>
      </w:r>
    </w:p>
    <w:p>
      <w:pPr>
        <w:pStyle w:val="Heading2"/>
        <w:spacing w:after="120" w:before="240"/>
      </w:pPr>
      <w:r>
        <w:rPr>
          <w:rFonts w:ascii="Georgia" w:cs="Georgia" w:eastAsia="Georgia" w:hAnsi="Georgia"/>
          <w:b/>
          <w:bCs/>
          <w:color w:val="16213e"/>
          <w:sz w:val="26"/>
          <w:szCs w:val="26"/>
        </w:rPr>
        <w:t xml:space="preserve">A general rule for the whole process</w:t>
      </w:r>
    </w:p>
    <w:p>
      <w:pPr>
        <w:spacing w:after="140" w:line="276"/>
        <w:jc w:val="both"/>
      </w:pPr>
      <w:r>
        <w:rPr>
          <w:rFonts w:ascii="Calibri" w:cs="Calibri" w:eastAsia="Calibri" w:hAnsi="Calibri"/>
          <w:color w:val="1a1a1a"/>
          <w:sz w:val="22"/>
          <w:szCs w:val="22"/>
        </w:rPr>
        <w:t xml:space="preserve">Each time you feel a new “click” along this path — and there will be many — do not chase it immediately. Note it in a separate list called “images,” and get on with the work. A saved click that later finds its mechanism becomes gold (that is how Kekulé went from dreaming of a serpent to discovering the benzene ring). A click chased while hot is almost always just exhilaration. The purpose lives in the discipline of not confusing the two.</w:t>
      </w:r>
    </w:p>
    <w:p>
      <w:pPr>
        <w:spacing w:after="200"/>
      </w:pPr>
      <w:r>
        <w:rPr>
          <w:sz w:val="2"/>
          <w:szCs w:val="2"/>
        </w:rPr>
        <w:t xml:space="preserve"/>
      </w:r>
    </w:p>
    <w:p>
      <w:pPr>
        <w:pBdr>
          <w:bottom w:val="single" w:color="cccccc" w:sz="6" w:space="4"/>
        </w:pBdr>
        <w:spacing w:after="80" w:before="80"/>
      </w:pPr>
      <w:r>
        <w:rPr>
          <w:sz w:val="2"/>
          <w:szCs w:val="2"/>
        </w:rPr>
        <w:t xml:space="preserve"/>
      </w:r>
    </w:p>
    <w:p>
      <w:pPr>
        <w:spacing w:after="140" w:line="276"/>
        <w:jc w:val="both"/>
      </w:pPr>
      <w:r>
        <w:rPr>
          <w:rFonts w:ascii="Georgia" w:cs="Georgia" w:eastAsia="Georgia" w:hAnsi="Georgia"/>
          <w:b/>
          <w:bCs/>
          <w:color w:val="1a1a1a"/>
          <w:sz w:val="22"/>
          <w:szCs w:val="22"/>
        </w:rPr>
        <w:t xml:space="preserve">Closing. </w:t>
      </w:r>
      <w:r>
        <w:rPr>
          <w:rFonts w:ascii="Calibri" w:cs="Calibri" w:eastAsia="Calibri" w:hAnsi="Calibri"/>
          <w:color w:val="1a1a1a"/>
          <w:sz w:val="22"/>
          <w:szCs w:val="22"/>
        </w:rPr>
        <w:t xml:space="preserve">This document does not prove that anything was deciphered that predecessors had not. It proves something more honest and more promising: that two tools now exist — the intuition that generates and the filter that refines — aimed at a problem with real edges. Before, there was only one. The rest is work. And the work, for the first time, has a precise direction.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Georgia" w:cs="Georgia" w:eastAsia="Georgia" w:hAnsi="Georgia"/>
        <w:i/>
        <w:iCs/>
        <w:color w:val="999999"/>
        <w:sz w:val="16"/>
        <w:szCs w:val="16"/>
      </w:rPr>
      <w:t xml:space="preserve">The First Distinction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Distinction</dc:title>
  <dc:creator>Max</dc:creator>
  <dc:description>Record of an exploration on co-emergence, intuition, and self-reference</dc:description>
  <cp:lastModifiedBy>Un-named</cp:lastModifiedBy>
  <cp:revision>1</cp:revision>
  <dcterms:created xsi:type="dcterms:W3CDTF">2026-07-05T03:18:29.978Z</dcterms:created>
  <dcterms:modified xsi:type="dcterms:W3CDTF">2026-07-05T03:18:29.992Z</dcterms:modified>
</cp:coreProperties>
</file>

<file path=docProps/custom.xml><?xml version="1.0" encoding="utf-8"?>
<Properties xmlns="http://schemas.openxmlformats.org/officeDocument/2006/custom-properties" xmlns:vt="http://schemas.openxmlformats.org/officeDocument/2006/docPropsVTypes"/>
</file>