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8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Decomposition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Decomposition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משאבות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לבחינה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guide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רדודה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הפשוטות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לפירוק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קלאסי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המתמטית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arima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המחשה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בבלוג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פוסט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https://github.com/amyple/TimeSeriesAnalysiswithPython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העמקה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פתרו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Rule="auto"/>
        <w:ind w:left="72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Decomposition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after="0" w:lineRule="auto"/>
        <w:ind w:left="72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רלצ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רזרבות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למאגרי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נאלצים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שהתיישן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מבזבז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טריליארדים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ומדינת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חיזוי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העתידית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ולייצר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סא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ליחידת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הדאטא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והדאטא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רלצ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החישובים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הצפויה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במדויק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היתכנות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הכוללת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2008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2016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20.10.15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בביטויים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סטציונריות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ACF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PACF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Dicky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Fuller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20.10.15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פרמטרי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הפירוק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צרף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הנותנים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bidi w:val="1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בונוס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דינמי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החיזוי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לפתרון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פוריה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ההדברים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בבפלוגפוסט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סרטונים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למטיבי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המצגת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המצורפת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spech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המצורפת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פירוק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פוריה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והמעבר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התדר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החישובית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DFT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ובארטיפקטים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לרעיון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המצגת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במציג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פרוייה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שממחיש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ההבדלים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הארטיפקטים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https://medium.com/sho-jp/fourier-transform-101-part-1-b69ea3cb4837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https://medium.com/sho-jp/fourier-transform-101-part-2-complex-fourier-series-934a885b3921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https://medium.com/sho-jp/fourier-transform-101-part-3-fourier-transform-6def0bd2ca9b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https://medium.com/sho-jp/fourier-transform-101-part-4-discrete-fourier-transform-8fc3fbb763f3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sho-jp/fourier-transform-101-part-4-discrete-fourier-transform-8fc3fbb763f3" TargetMode="External"/><Relationship Id="rId10" Type="http://schemas.openxmlformats.org/officeDocument/2006/relationships/hyperlink" Target="https://medium.com/sho-jp/fourier-transform-101-part-3-fourier-transform-6def0bd2ca9b" TargetMode="External"/><Relationship Id="rId9" Type="http://schemas.openxmlformats.org/officeDocument/2006/relationships/hyperlink" Target="https://medium.com/sho-jp/fourier-transform-101-part-2-complex-fourier-series-934a885b39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myple/TimeSeriesAnalysiswithPython" TargetMode="External"/><Relationship Id="rId8" Type="http://schemas.openxmlformats.org/officeDocument/2006/relationships/hyperlink" Target="https://medium.com/sho-jp/fourier-transform-101-part-1-b69ea3cb483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PIZH9hBve8Jj8RlK8NpZ/bTpg==">AMUW2mWRi7O9PVZQMCgASI2kNZ1hLzD4JV7jCUQr4EyPFWJB/p57ZZJDvy/0mk1L79+nXvlhmsgw6GIcUl0NkjkfneAbRBw9gqKfZIqKD5zPYVJoamPhppI=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