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0AAD1323" w:rsidR="00B266CD" w:rsidRPr="003D7B25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3D7B25" w:rsidRPr="003D7B25">
        <w:rPr>
          <w:rFonts w:eastAsia="Times New Roman" w:cs="Times New Roman"/>
          <w:b/>
          <w:caps/>
          <w:szCs w:val="28"/>
          <w:lang w:eastAsia="ru-RU"/>
        </w:rPr>
        <w:t>5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5FEDF94E" w14:textId="4F5990E0" w:rsidR="00B266CD" w:rsidRPr="00B266CD" w:rsidRDefault="009D1BAF" w:rsidP="009D2202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3D7B25" w:rsidRPr="003D7B25">
        <w:rPr>
          <w:rFonts w:eastAsia="Times New Roman" w:cs="Times New Roman"/>
          <w:bCs/>
          <w:szCs w:val="28"/>
          <w:lang w:eastAsia="ru-RU"/>
        </w:rPr>
        <w:t>Использование справочников в формах диалога с БД</w:t>
      </w: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45912882" w14:textId="06FC37B9" w:rsidR="009A4A16" w:rsidRPr="009A4A16" w:rsidRDefault="00F578A7" w:rsidP="009A4A16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r w:rsidR="00E1095F">
        <w:fldChar w:fldCharType="begin"/>
      </w:r>
      <w:r w:rsidR="00E1095F">
        <w:instrText xml:space="preserve"> TOC \o "1-3" \u </w:instrText>
      </w:r>
      <w:r w:rsidR="00E1095F">
        <w:fldChar w:fldCharType="separate"/>
      </w:r>
    </w:p>
    <w:p w14:paraId="6CCBD57F" w14:textId="163E7DCA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_Toc127125201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62CA53E8" w14:textId="3882949E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_Toc127125202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0701E558" w14:textId="158570F5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Добавленный программный код с пояснениями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_Toc127125203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4</w:t>
      </w:r>
      <w:r>
        <w:rPr>
          <w:noProof/>
        </w:rPr>
        <w:fldChar w:fldCharType="end"/>
      </w:r>
    </w:p>
    <w:p w14:paraId="6EC81052" w14:textId="49EAC1E0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Подробное описание впервые использованных свойств и методов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_Toc127125204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7</w:t>
      </w:r>
      <w:r>
        <w:rPr>
          <w:noProof/>
        </w:rPr>
        <w:fldChar w:fldCharType="end"/>
      </w:r>
    </w:p>
    <w:p w14:paraId="6A997F76" w14:textId="0C271234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9" w:name="_Toc127125201"/>
      <w:r w:rsidRPr="00A67EBD">
        <w:t xml:space="preserve">1 </w:t>
      </w:r>
      <w:r w:rsidR="000A2FC6" w:rsidRPr="000A2FC6">
        <w:t>Постановка задачи</w:t>
      </w:r>
      <w:bookmarkEnd w:id="9"/>
    </w:p>
    <w:p w14:paraId="11DE2AF5" w14:textId="77777777" w:rsidR="003D7B25" w:rsidRDefault="003D7B25" w:rsidP="003D7B25">
      <w:pPr>
        <w:pStyle w:val="a"/>
        <w:ind w:left="0" w:firstLine="709"/>
      </w:pPr>
      <w:r>
        <w:t>На пятой вкладке «Лабораторная работа № 5» постройте диалог, демонстрирующий работу с главной таблицей БД задания, в которой значение справочного поля выбирается из списка, содержащего значения из справочной таблицы.</w:t>
      </w:r>
    </w:p>
    <w:p w14:paraId="1322B15B" w14:textId="77777777" w:rsidR="003D7B25" w:rsidRDefault="003D7B25" w:rsidP="003D7B25">
      <w:pPr>
        <w:pStyle w:val="a"/>
        <w:ind w:left="0" w:firstLine="709"/>
      </w:pPr>
      <w:r>
        <w:t>Проверьте возможность управления данными в полученной форме.</w:t>
      </w:r>
    </w:p>
    <w:p w14:paraId="34FA9F74" w14:textId="77777777" w:rsidR="003D7B25" w:rsidRDefault="003D7B25" w:rsidP="003D7B25">
      <w:pPr>
        <w:pStyle w:val="a"/>
        <w:ind w:left="0" w:firstLine="709"/>
      </w:pPr>
      <w:r>
        <w:t xml:space="preserve">Проверьте, как изменение данных справочной таблицы отражается на выборе справочных значений в </w:t>
      </w:r>
      <w:proofErr w:type="spellStart"/>
      <w:r w:rsidRPr="003D7B25">
        <w:rPr>
          <w:b/>
          <w:bCs/>
          <w:i/>
          <w:iCs/>
        </w:rPr>
        <w:t>DataGridView</w:t>
      </w:r>
      <w:proofErr w:type="spellEnd"/>
      <w:r>
        <w:t>.</w:t>
      </w:r>
    </w:p>
    <w:p w14:paraId="0DC3E77E" w14:textId="77777777" w:rsidR="003D7B25" w:rsidRDefault="003D7B25" w:rsidP="003D7B25">
      <w:pPr>
        <w:pStyle w:val="a"/>
        <w:ind w:left="0" w:firstLine="709"/>
      </w:pPr>
      <w:r>
        <w:t xml:space="preserve">Изучите работу со справочными значениями в отдельных полях. Добавьте в форму элемент </w:t>
      </w:r>
      <w:proofErr w:type="spellStart"/>
      <w:r w:rsidRPr="003D7B25">
        <w:rPr>
          <w:b/>
          <w:bCs/>
          <w:i/>
          <w:iCs/>
        </w:rPr>
        <w:t>ComboBox</w:t>
      </w:r>
      <w:proofErr w:type="spellEnd"/>
      <w:r>
        <w:t xml:space="preserve"> и настройте его свойства для выбора значений из справочной таблицы (или запроса):</w:t>
      </w:r>
    </w:p>
    <w:p w14:paraId="2F948D67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разделе </w:t>
      </w:r>
      <w:proofErr w:type="spellStart"/>
      <w:r w:rsidRPr="003D7B25">
        <w:rPr>
          <w:b/>
          <w:bCs/>
        </w:rPr>
        <w:t>DataBinding</w:t>
      </w:r>
      <w:proofErr w:type="spellEnd"/>
      <w:r>
        <w:t xml:space="preserve"> установите в свойстве </w:t>
      </w:r>
      <w:proofErr w:type="spellStart"/>
      <w:r w:rsidRPr="003D7B25">
        <w:rPr>
          <w:b/>
          <w:bCs/>
        </w:rPr>
        <w:t>SelectedValue</w:t>
      </w:r>
      <w:proofErr w:type="spellEnd"/>
      <w:r>
        <w:t xml:space="preserve"> связь с полем кода источника данных (</w:t>
      </w:r>
      <w:proofErr w:type="spellStart"/>
      <w:r w:rsidRPr="003D7B25">
        <w:rPr>
          <w:b/>
          <w:bCs/>
          <w:i/>
          <w:iCs/>
        </w:rPr>
        <w:t>BindingSource</w:t>
      </w:r>
      <w:proofErr w:type="spellEnd"/>
      <w:r>
        <w:t>) основной таблицы;</w:t>
      </w:r>
    </w:p>
    <w:p w14:paraId="71016239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proofErr w:type="spellStart"/>
      <w:r w:rsidRPr="003D7B25">
        <w:rPr>
          <w:b/>
          <w:bCs/>
        </w:rPr>
        <w:t>DataSource</w:t>
      </w:r>
      <w:proofErr w:type="spellEnd"/>
      <w:r>
        <w:t xml:space="preserve"> задайте источник (</w:t>
      </w:r>
      <w:proofErr w:type="spellStart"/>
      <w:r w:rsidRPr="003D7B25">
        <w:rPr>
          <w:b/>
          <w:bCs/>
          <w:i/>
          <w:iCs/>
        </w:rPr>
        <w:t>BindingSource</w:t>
      </w:r>
      <w:proofErr w:type="spellEnd"/>
      <w:r>
        <w:t>) справочника данных;</w:t>
      </w:r>
    </w:p>
    <w:p w14:paraId="5D2216EF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proofErr w:type="spellStart"/>
      <w:r w:rsidRPr="003D7B25">
        <w:rPr>
          <w:b/>
          <w:bCs/>
        </w:rPr>
        <w:t>DisplayMember</w:t>
      </w:r>
      <w:proofErr w:type="spellEnd"/>
      <w:r>
        <w:t xml:space="preserve"> выберите поле для отображения;</w:t>
      </w:r>
    </w:p>
    <w:p w14:paraId="27C33199" w14:textId="05C4548D" w:rsidR="009D2202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proofErr w:type="spellStart"/>
      <w:r w:rsidRPr="003D7B25">
        <w:rPr>
          <w:b/>
          <w:bCs/>
        </w:rPr>
        <w:t>ValueMember</w:t>
      </w:r>
      <w:proofErr w:type="spellEnd"/>
      <w:r>
        <w:t xml:space="preserve"> выберите поле кода из справочника.</w:t>
      </w:r>
    </w:p>
    <w:p w14:paraId="0137BE3B" w14:textId="1FDC1087" w:rsidR="003D7B25" w:rsidRPr="003D7B25" w:rsidRDefault="003D7B25" w:rsidP="003D7B2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00CC0" w14:textId="2D9C064E" w:rsidR="00890548" w:rsidRDefault="000A2FC6" w:rsidP="00C43F8F">
      <w:pPr>
        <w:pStyle w:val="1"/>
        <w:jc w:val="both"/>
      </w:pPr>
      <w:bookmarkStart w:id="10" w:name="_Toc127125202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10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695756BD" w:rsidR="00C43F8F" w:rsidRDefault="003D7B25" w:rsidP="006A1BB8">
      <w:pPr>
        <w:ind w:firstLine="0"/>
      </w:pPr>
      <w:r>
        <w:rPr>
          <w:noProof/>
        </w:rPr>
        <w:drawing>
          <wp:inline distT="0" distB="0" distL="0" distR="0" wp14:anchorId="27801390" wp14:editId="5476F379">
            <wp:extent cx="5940425" cy="3192780"/>
            <wp:effectExtent l="0" t="0" r="3175" b="7620"/>
            <wp:docPr id="202472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25F30CF9" w:rsidR="00984953" w:rsidRDefault="003D7B25" w:rsidP="00823AFA">
      <w:pPr>
        <w:ind w:firstLine="0"/>
        <w:jc w:val="center"/>
      </w:pPr>
      <w:r>
        <w:rPr>
          <w:noProof/>
        </w:rPr>
        <w:drawing>
          <wp:inline distT="0" distB="0" distL="0" distR="0" wp14:anchorId="49D22EFF" wp14:editId="209FB7D0">
            <wp:extent cx="5940425" cy="2595880"/>
            <wp:effectExtent l="0" t="0" r="3175" b="0"/>
            <wp:docPr id="1139623690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3690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5D3454A2" w14:textId="3DB97CB0" w:rsidR="009D2202" w:rsidRPr="003D7B25" w:rsidRDefault="003D7B25" w:rsidP="009D2202">
      <w:r w:rsidRPr="003D7B25">
        <w:t xml:space="preserve">Лабораторная работа № 5 была сделана на основе лабораторной работы №2. По сравнению с ней было </w:t>
      </w:r>
      <w:r w:rsidRPr="003D7B25">
        <w:t>добавлено</w:t>
      </w:r>
      <w:r w:rsidRPr="003D7B25">
        <w:t xml:space="preserve"> 2 табличных представления </w:t>
      </w:r>
      <w:proofErr w:type="spellStart"/>
      <w:r w:rsidRPr="003D7B25">
        <w:rPr>
          <w:b/>
          <w:bCs/>
          <w:i/>
          <w:iCs/>
          <w:lang w:val="en-US"/>
        </w:rPr>
        <w:t>DataGridView</w:t>
      </w:r>
      <w:proofErr w:type="spellEnd"/>
      <w:r w:rsidRPr="003D7B25">
        <w:t xml:space="preserve"> (для таблиц справочников), 2 текстовые метки </w:t>
      </w:r>
      <w:r w:rsidRPr="003D7B25">
        <w:rPr>
          <w:b/>
          <w:bCs/>
          <w:i/>
          <w:iCs/>
          <w:lang w:val="en-US"/>
        </w:rPr>
        <w:t>Label</w:t>
      </w:r>
      <w:r w:rsidRPr="003D7B25">
        <w:t>, а также были изменены свойства у двух столбцов таблиц «Ответственные» и «Ответственность за оборудование».</w:t>
      </w:r>
    </w:p>
    <w:p w14:paraId="355E0BA9" w14:textId="04541D61" w:rsidR="003D7B25" w:rsidRDefault="003D7B25" w:rsidP="003D7B25">
      <w:pPr>
        <w:ind w:firstLine="0"/>
      </w:pPr>
    </w:p>
    <w:p w14:paraId="29F7D36D" w14:textId="798AAD5B" w:rsidR="003D7B25" w:rsidRDefault="003D7B25" w:rsidP="003D7B25">
      <w:pPr>
        <w:ind w:firstLine="0"/>
        <w:jc w:val="center"/>
      </w:pPr>
      <w:r>
        <w:rPr>
          <w:noProof/>
        </w:rPr>
        <w:drawing>
          <wp:inline distT="0" distB="0" distL="0" distR="0" wp14:anchorId="0B834EA1" wp14:editId="2FEC4EFE">
            <wp:extent cx="5940425" cy="4606925"/>
            <wp:effectExtent l="0" t="0" r="3175" b="3175"/>
            <wp:docPr id="524468888" name="Рисунок 3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8888" name="Рисунок 3" descr="Изображение выглядит как текст, снимок экрана, мони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E3A3" w14:textId="66D825A8" w:rsidR="003D7B25" w:rsidRDefault="003D7B25" w:rsidP="003D7B25">
      <w:pPr>
        <w:ind w:firstLine="0"/>
        <w:jc w:val="center"/>
      </w:pPr>
      <w:r>
        <w:t>Рисунок №</w:t>
      </w:r>
      <w:r w:rsidRPr="003D7B25">
        <w:t>3</w:t>
      </w:r>
      <w:r>
        <w:t xml:space="preserve"> – </w:t>
      </w:r>
      <w:r w:rsidRPr="003D7B25">
        <w:t>Окно мастера настройки источников данных</w:t>
      </w:r>
    </w:p>
    <w:p w14:paraId="0D298B0E" w14:textId="496D5A47" w:rsidR="003D7B25" w:rsidRDefault="003D7B25" w:rsidP="003D7B25"/>
    <w:p w14:paraId="032D363B" w14:textId="545D8008" w:rsidR="003D7B25" w:rsidRDefault="003D7B25" w:rsidP="003D7B25">
      <w:r w:rsidRPr="003D7B25">
        <w:t xml:space="preserve">Все необходимые таблицы были добавлены в </w:t>
      </w:r>
      <w:proofErr w:type="spellStart"/>
      <w:r w:rsidRPr="003D7B25">
        <w:rPr>
          <w:b/>
          <w:bCs/>
        </w:rPr>
        <w:t>dataSetLessonsUrfu</w:t>
      </w:r>
      <w:proofErr w:type="spellEnd"/>
      <w:r w:rsidRPr="003D7B25">
        <w:t xml:space="preserve"> ещё при выполнении лабораторной работы №1.</w:t>
      </w:r>
    </w:p>
    <w:p w14:paraId="42F4ADBF" w14:textId="3FBA6256" w:rsidR="003D7B25" w:rsidRDefault="003D7B25" w:rsidP="003D7B25">
      <w:pPr>
        <w:ind w:firstLine="0"/>
      </w:pPr>
    </w:p>
    <w:p w14:paraId="6C5B50EF" w14:textId="75A83A2F" w:rsidR="003D7B25" w:rsidRDefault="003D7B25" w:rsidP="003D7B25">
      <w:pPr>
        <w:ind w:firstLine="0"/>
        <w:jc w:val="center"/>
      </w:pPr>
      <w:r>
        <w:rPr>
          <w:noProof/>
        </w:rPr>
        <w:drawing>
          <wp:inline distT="0" distB="0" distL="0" distR="0" wp14:anchorId="03DBA663" wp14:editId="14896304">
            <wp:extent cx="5940425" cy="5376545"/>
            <wp:effectExtent l="0" t="0" r="3175" b="0"/>
            <wp:docPr id="7102062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23F2" w14:textId="53D4810B" w:rsidR="003D7B25" w:rsidRDefault="003D7B25" w:rsidP="003D7B25">
      <w:pPr>
        <w:ind w:firstLine="0"/>
        <w:jc w:val="center"/>
      </w:pPr>
      <w:r>
        <w:t>Рисунок №</w:t>
      </w:r>
      <w:r w:rsidRPr="00096B86">
        <w:t>4</w:t>
      </w:r>
      <w:r>
        <w:t xml:space="preserve"> – </w:t>
      </w:r>
      <w:r w:rsidR="00096B86" w:rsidRPr="00096B86">
        <w:t xml:space="preserve">Настройка столбцов таблицы-справочника </w:t>
      </w:r>
      <w:r w:rsidR="00096B86">
        <w:br/>
      </w:r>
      <w:r w:rsidR="00096B86" w:rsidRPr="00096B86">
        <w:t>«Поставщики оборудования</w:t>
      </w:r>
      <w:r w:rsidR="00096B86">
        <w:t>»</w:t>
      </w:r>
    </w:p>
    <w:p w14:paraId="5EE7C4AE" w14:textId="7C712072" w:rsidR="00096B86" w:rsidRDefault="00096B86" w:rsidP="003D7B25">
      <w:pPr>
        <w:ind w:firstLine="0"/>
        <w:jc w:val="center"/>
      </w:pPr>
    </w:p>
    <w:p w14:paraId="1AF6C26F" w14:textId="7287764A" w:rsidR="00096B86" w:rsidRDefault="00096B86" w:rsidP="003D7B25">
      <w:pPr>
        <w:ind w:firstLine="0"/>
        <w:jc w:val="center"/>
      </w:pPr>
      <w:r>
        <w:rPr>
          <w:noProof/>
        </w:rPr>
        <w:drawing>
          <wp:inline distT="0" distB="0" distL="0" distR="0" wp14:anchorId="44A29E24" wp14:editId="72F9C1A9">
            <wp:extent cx="5940425" cy="5376545"/>
            <wp:effectExtent l="0" t="0" r="3175" b="0"/>
            <wp:docPr id="20234610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E580" w14:textId="1A6772F1" w:rsidR="00096B86" w:rsidRPr="00096B86" w:rsidRDefault="00096B86" w:rsidP="003D7B25">
      <w:pPr>
        <w:ind w:firstLine="0"/>
        <w:jc w:val="center"/>
      </w:pPr>
      <w:r>
        <w:t xml:space="preserve">Рисунок №5 – </w:t>
      </w:r>
      <w:r w:rsidRPr="00096B86">
        <w:t xml:space="preserve">Настройка столбцов таблицы-справочника </w:t>
      </w:r>
      <w:r>
        <w:br/>
      </w:r>
      <w:r w:rsidRPr="00096B86">
        <w:t>«Причина возврата</w:t>
      </w:r>
      <w:r>
        <w:t>»</w:t>
      </w:r>
    </w:p>
    <w:p w14:paraId="02A14339" w14:textId="0DB154BB" w:rsidR="003D7B25" w:rsidRDefault="003D7B25" w:rsidP="003D7B25">
      <w:pPr>
        <w:ind w:firstLine="0"/>
        <w:jc w:val="center"/>
      </w:pPr>
    </w:p>
    <w:p w14:paraId="670C40DB" w14:textId="140D9670" w:rsidR="00096B86" w:rsidRDefault="00096B86" w:rsidP="00096B86">
      <w:r>
        <w:t>Согласно заданию, для таблиц «Поставщики оборудования» и «Причина возврата» были переименованы названия столбцов на</w:t>
      </w:r>
      <w:r>
        <w:t xml:space="preserve"> </w:t>
      </w:r>
      <w:r>
        <w:t xml:space="preserve">русский язык, с помощью свойства </w:t>
      </w:r>
      <w:proofErr w:type="spellStart"/>
      <w:r w:rsidRPr="00096B86">
        <w:rPr>
          <w:b/>
          <w:bCs/>
        </w:rPr>
        <w:t>HeaderText</w:t>
      </w:r>
      <w:proofErr w:type="spellEnd"/>
      <w:r>
        <w:t>.</w:t>
      </w:r>
    </w:p>
    <w:p w14:paraId="72F49CAC" w14:textId="2D2B735D" w:rsidR="00096B86" w:rsidRDefault="00096B86" w:rsidP="00096B86">
      <w:pPr>
        <w:ind w:firstLine="0"/>
      </w:pPr>
    </w:p>
    <w:p w14:paraId="76F57A71" w14:textId="770B9422" w:rsidR="00096B86" w:rsidRDefault="00096B86" w:rsidP="00096B86">
      <w:pPr>
        <w:ind w:firstLine="0"/>
      </w:pPr>
      <w:r>
        <w:rPr>
          <w:noProof/>
        </w:rPr>
        <w:drawing>
          <wp:inline distT="0" distB="0" distL="0" distR="0" wp14:anchorId="22938FE2" wp14:editId="37D4BAB5">
            <wp:extent cx="5940425" cy="6903085"/>
            <wp:effectExtent l="0" t="0" r="3175" b="0"/>
            <wp:docPr id="2666644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C927" w14:textId="296AF090" w:rsidR="00096B86" w:rsidRDefault="00096B86" w:rsidP="00096B86">
      <w:pPr>
        <w:ind w:firstLine="0"/>
        <w:jc w:val="center"/>
      </w:pPr>
      <w:r>
        <w:t>Рисунок №</w:t>
      </w:r>
      <w:r>
        <w:t>6</w:t>
      </w:r>
      <w:r>
        <w:t xml:space="preserve"> –</w:t>
      </w:r>
      <w:r>
        <w:t xml:space="preserve"> </w:t>
      </w:r>
      <w:r w:rsidRPr="00096B86">
        <w:t>Настройка подстановки справочных значений в столбец «Поставщик»</w:t>
      </w:r>
    </w:p>
    <w:p w14:paraId="069B9012" w14:textId="18F2A828" w:rsidR="00096B86" w:rsidRDefault="00096B86" w:rsidP="00096B86">
      <w:pPr>
        <w:ind w:firstLine="0"/>
        <w:jc w:val="center"/>
      </w:pPr>
    </w:p>
    <w:p w14:paraId="3029C10D" w14:textId="25E8B2C2" w:rsidR="00096B86" w:rsidRDefault="00096B86" w:rsidP="00096B86">
      <w:pPr>
        <w:ind w:firstLine="0"/>
        <w:jc w:val="center"/>
      </w:pPr>
      <w:r>
        <w:rPr>
          <w:noProof/>
        </w:rPr>
        <w:drawing>
          <wp:inline distT="0" distB="0" distL="0" distR="0" wp14:anchorId="7DFAE0B2" wp14:editId="733BEB5A">
            <wp:extent cx="5940425" cy="6903085"/>
            <wp:effectExtent l="0" t="0" r="3175" b="0"/>
            <wp:docPr id="20361374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5048" w14:textId="1496546C" w:rsidR="00096B86" w:rsidRDefault="00096B86" w:rsidP="003D7B25">
      <w:pPr>
        <w:ind w:firstLine="0"/>
        <w:jc w:val="center"/>
      </w:pPr>
      <w:r>
        <w:t xml:space="preserve">Рисунок №7 – </w:t>
      </w:r>
      <w:r w:rsidRPr="00096B86">
        <w:t>Настройка подстановки справочных значений в столбец «Причина возврата»</w:t>
      </w:r>
    </w:p>
    <w:p w14:paraId="317BE13E" w14:textId="22FBC778" w:rsidR="00096B86" w:rsidRDefault="00096B86" w:rsidP="00096B86">
      <w:pPr>
        <w:ind w:firstLine="0"/>
        <w:jc w:val="center"/>
      </w:pPr>
    </w:p>
    <w:p w14:paraId="3020174B" w14:textId="743214F7" w:rsidR="00096B86" w:rsidRDefault="00096B86" w:rsidP="00096B86">
      <w:r>
        <w:t>Для столбцов,</w:t>
      </w:r>
      <w:r>
        <w:t xml:space="preserve"> связанных </w:t>
      </w:r>
      <w:r>
        <w:t>с таблицами-справочниками,</w:t>
      </w:r>
      <w:r>
        <w:t xml:space="preserve"> были </w:t>
      </w:r>
      <w:r>
        <w:t>настроены</w:t>
      </w:r>
      <w:r>
        <w:t xml:space="preserve"> подстановки справочных значений. Тем самым, вместо</w:t>
      </w:r>
      <w:r>
        <w:t xml:space="preserve"> идентификатора</w:t>
      </w:r>
      <w:r>
        <w:t xml:space="preserve"> поставщика или причины возврата оборудования, в таблице отображается название.</w:t>
      </w:r>
      <w:r>
        <w:t xml:space="preserve"> </w:t>
      </w:r>
      <w:r w:rsidRPr="00096B86">
        <w:t>У данных столбцов был изменён ряд свойств:</w:t>
      </w:r>
    </w:p>
    <w:p w14:paraId="00BE5680" w14:textId="7777777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proofErr w:type="spellStart"/>
      <w:r w:rsidRPr="00096B86">
        <w:rPr>
          <w:b/>
          <w:bCs/>
        </w:rPr>
        <w:t>ColumnType</w:t>
      </w:r>
      <w:proofErr w:type="spellEnd"/>
      <w:r w:rsidRPr="00096B86">
        <w:rPr>
          <w:b/>
          <w:bCs/>
        </w:rPr>
        <w:t xml:space="preserve"> = </w:t>
      </w:r>
      <w:proofErr w:type="spellStart"/>
      <w:r w:rsidRPr="00096B86">
        <w:rPr>
          <w:b/>
          <w:bCs/>
        </w:rPr>
        <w:t>DataGridViewComboBoxColumn</w:t>
      </w:r>
      <w:proofErr w:type="spellEnd"/>
      <w:r>
        <w:t>: переводит столбец в режим выбора значения из списка.</w:t>
      </w:r>
    </w:p>
    <w:p w14:paraId="21092E70" w14:textId="76BC84F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proofErr w:type="spellStart"/>
      <w:r w:rsidRPr="00096B86">
        <w:rPr>
          <w:b/>
          <w:bCs/>
        </w:rPr>
        <w:t>DataSource</w:t>
      </w:r>
      <w:proofErr w:type="spellEnd"/>
      <w:r w:rsidRPr="00096B86">
        <w:rPr>
          <w:b/>
          <w:bCs/>
        </w:rPr>
        <w:t xml:space="preserve"> = </w:t>
      </w:r>
      <w:proofErr w:type="spellStart"/>
      <w:r w:rsidRPr="00096B86">
        <w:rPr>
          <w:b/>
          <w:bCs/>
        </w:rPr>
        <w:t>bindingSource</w:t>
      </w:r>
      <w:proofErr w:type="spellEnd"/>
      <w:r w:rsidRPr="00096B86">
        <w:rPr>
          <w:b/>
          <w:bCs/>
        </w:rPr>
        <w:t>${</w:t>
      </w:r>
      <w:proofErr w:type="spellStart"/>
      <w:r w:rsidRPr="00096B86">
        <w:rPr>
          <w:b/>
          <w:bCs/>
        </w:rPr>
        <w:t>tableName</w:t>
      </w:r>
      <w:proofErr w:type="spellEnd"/>
      <w:r w:rsidRPr="00096B86">
        <w:rPr>
          <w:b/>
          <w:bCs/>
        </w:rPr>
        <w:t>}</w:t>
      </w:r>
      <w:r>
        <w:t xml:space="preserve">: в качестве источника данных для списка используется источник данных таблицы-справочника. </w:t>
      </w:r>
      <w:r w:rsidRPr="00096B86">
        <w:rPr>
          <w:b/>
          <w:bCs/>
        </w:rPr>
        <w:t>${</w:t>
      </w:r>
      <w:proofErr w:type="spellStart"/>
      <w:r w:rsidRPr="00096B86">
        <w:rPr>
          <w:b/>
          <w:bCs/>
        </w:rPr>
        <w:t>tableName</w:t>
      </w:r>
      <w:proofErr w:type="spellEnd"/>
      <w:r w:rsidRPr="00096B86">
        <w:rPr>
          <w:b/>
          <w:bCs/>
        </w:rPr>
        <w:t>}</w:t>
      </w:r>
      <w:r>
        <w:t xml:space="preserve"> –</w:t>
      </w:r>
      <w:r>
        <w:t xml:space="preserve"> название таблицы-справочника.</w:t>
      </w:r>
    </w:p>
    <w:p w14:paraId="78475288" w14:textId="7777777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proofErr w:type="spellStart"/>
      <w:r w:rsidRPr="00096B86">
        <w:rPr>
          <w:b/>
          <w:bCs/>
        </w:rPr>
        <w:t>DisplayMember</w:t>
      </w:r>
      <w:proofErr w:type="spellEnd"/>
      <w:r w:rsidRPr="00096B86">
        <w:rPr>
          <w:b/>
          <w:bCs/>
        </w:rPr>
        <w:t xml:space="preserve"> = ${</w:t>
      </w:r>
      <w:proofErr w:type="spellStart"/>
      <w:r w:rsidRPr="00096B86">
        <w:rPr>
          <w:b/>
          <w:bCs/>
        </w:rPr>
        <w:t>columnName</w:t>
      </w:r>
      <w:proofErr w:type="spellEnd"/>
      <w:r w:rsidRPr="00096B86">
        <w:rPr>
          <w:b/>
          <w:bCs/>
        </w:rPr>
        <w:t>}</w:t>
      </w:r>
      <w:r>
        <w:t>: в качестве отображаемого значения используется текстовое справочное значение из таблицы-справочника.</w:t>
      </w:r>
    </w:p>
    <w:p w14:paraId="405B4FA7" w14:textId="5D45B106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proofErr w:type="spellStart"/>
      <w:r w:rsidRPr="00096B86">
        <w:rPr>
          <w:b/>
          <w:bCs/>
        </w:rPr>
        <w:t>ValueMember</w:t>
      </w:r>
      <w:proofErr w:type="spellEnd"/>
      <w:r w:rsidRPr="00096B86">
        <w:rPr>
          <w:b/>
          <w:bCs/>
        </w:rPr>
        <w:t xml:space="preserve"> = </w:t>
      </w:r>
      <w:proofErr w:type="spellStart"/>
      <w:r w:rsidRPr="00096B86">
        <w:rPr>
          <w:b/>
          <w:bCs/>
        </w:rPr>
        <w:t>Id</w:t>
      </w:r>
      <w:proofErr w:type="spellEnd"/>
      <w:r>
        <w:t xml:space="preserve">: для сопоставления значений используется числовой </w:t>
      </w:r>
      <w:r>
        <w:t>идентификатор</w:t>
      </w:r>
      <w:r>
        <w:t xml:space="preserve"> из исходной таблицы, связанный внешним ключом </w:t>
      </w:r>
      <w:r w:rsidR="00CF0620">
        <w:t>идентификатором</w:t>
      </w:r>
      <w:r>
        <w:t xml:space="preserve"> из таблицы-справочника.</w:t>
      </w:r>
    </w:p>
    <w:p w14:paraId="7646D501" w14:textId="77777777" w:rsidR="00096B86" w:rsidRDefault="00096B86" w:rsidP="00096B86"/>
    <w:p w14:paraId="5D43722B" w14:textId="77777777" w:rsidR="009D2202" w:rsidRDefault="009D2202" w:rsidP="009D2202">
      <w:pPr>
        <w:pStyle w:val="1"/>
      </w:pPr>
      <w:bookmarkStart w:id="11" w:name="_Toc127125203"/>
      <w:r w:rsidRPr="009D2202">
        <w:t>3 Добавленный программный код с пояснениями</w:t>
      </w:r>
      <w:bookmarkEnd w:id="11"/>
    </w:p>
    <w:p w14:paraId="1CB8FF2C" w14:textId="77777777" w:rsidR="00CF0620" w:rsidRDefault="00CF0620" w:rsidP="00CF0620">
      <w:r w:rsidRPr="00CF0620">
        <w:t xml:space="preserve">Были изменены </w:t>
      </w:r>
      <w:r w:rsidRPr="00CF0620">
        <w:t>методы,</w:t>
      </w:r>
      <w:r w:rsidRPr="00CF0620">
        <w:t xml:space="preserve"> отвечающие за обработку событий.</w:t>
      </w:r>
      <w:r>
        <w:t xml:space="preserve"> </w:t>
      </w:r>
    </w:p>
    <w:p w14:paraId="349D0A50" w14:textId="77777777" w:rsidR="00CF0620" w:rsidRDefault="00CF0620" w:rsidP="00CF0620"/>
    <w:p w14:paraId="49896B03" w14:textId="00220817" w:rsidR="009D2202" w:rsidRDefault="00CF0620" w:rsidP="00CF0620">
      <w:r w:rsidRPr="00CF0620">
        <w:t xml:space="preserve">В метод </w:t>
      </w:r>
      <w:proofErr w:type="spellStart"/>
      <w:proofErr w:type="gramStart"/>
      <w:r w:rsidRPr="00CF0620">
        <w:rPr>
          <w:b/>
          <w:bCs/>
        </w:rPr>
        <w:t>LoadForm</w:t>
      </w:r>
      <w:proofErr w:type="spellEnd"/>
      <w:r w:rsidRPr="00CF0620">
        <w:rPr>
          <w:b/>
          <w:bCs/>
        </w:rPr>
        <w:t>(</w:t>
      </w:r>
      <w:proofErr w:type="spellStart"/>
      <w:proofErr w:type="gramEnd"/>
      <w:r w:rsidRPr="00CF0620">
        <w:rPr>
          <w:b/>
          <w:bCs/>
        </w:rPr>
        <w:t>object</w:t>
      </w:r>
      <w:proofErr w:type="spellEnd"/>
      <w:r w:rsidRPr="00CF0620">
        <w:rPr>
          <w:b/>
          <w:bCs/>
        </w:rPr>
        <w:t xml:space="preserve">, </w:t>
      </w:r>
      <w:proofErr w:type="spellStart"/>
      <w:r w:rsidRPr="00CF0620">
        <w:rPr>
          <w:b/>
          <w:bCs/>
        </w:rPr>
        <w:t>EventArgs</w:t>
      </w:r>
      <w:proofErr w:type="spellEnd"/>
      <w:r w:rsidRPr="00CF0620">
        <w:rPr>
          <w:b/>
          <w:bCs/>
        </w:rPr>
        <w:t>)</w:t>
      </w:r>
      <w:r w:rsidRPr="00CF0620">
        <w:t xml:space="preserve"> были добавлены команды для загрузки данных из таблиц-справочников.</w:t>
      </w:r>
    </w:p>
    <w:p w14:paraId="5555F4E9" w14:textId="59C11666" w:rsidR="009A4A16" w:rsidRDefault="009A4A16" w:rsidP="009D2202"/>
    <w:p w14:paraId="084BABE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LoadMainForm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5A0E539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2AAD60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tableAdapterSuppliers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Suppliers</w:t>
      </w:r>
      <w:proofErr w:type="spellEnd"/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1EE1872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ReasonsForReturn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4D0B07C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Responsibility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3B368655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tableAdapterResponsible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Responsible</w:t>
      </w:r>
      <w:proofErr w:type="spellEnd"/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35CC3C54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tableAdapterEquipment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Fill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dataSetLessonsUrfu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Equipment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5F852D41" w14:textId="184AE55E" w:rsidR="00CF0620" w:rsidRPr="00CF0620" w:rsidRDefault="00CF0620" w:rsidP="00CF0620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545847A3" w14:textId="3F77A210" w:rsidR="00CF0620" w:rsidRDefault="00CF0620" w:rsidP="009D2202"/>
    <w:p w14:paraId="6B91118F" w14:textId="59EB8CEE" w:rsidR="00CF0620" w:rsidRDefault="00CF0620" w:rsidP="009D2202">
      <w:r w:rsidRPr="00CF0620">
        <w:t xml:space="preserve">В метод </w:t>
      </w:r>
      <w:proofErr w:type="spellStart"/>
      <w:proofErr w:type="gramStart"/>
      <w:r w:rsidRPr="00CF0620">
        <w:rPr>
          <w:b/>
          <w:bCs/>
        </w:rPr>
        <w:t>SaveItem</w:t>
      </w:r>
      <w:proofErr w:type="spellEnd"/>
      <w:r w:rsidRPr="00CF0620">
        <w:rPr>
          <w:b/>
          <w:bCs/>
        </w:rPr>
        <w:t>(</w:t>
      </w:r>
      <w:proofErr w:type="spellStart"/>
      <w:proofErr w:type="gramEnd"/>
      <w:r w:rsidRPr="00CF0620">
        <w:rPr>
          <w:b/>
          <w:bCs/>
        </w:rPr>
        <w:t>object</w:t>
      </w:r>
      <w:proofErr w:type="spellEnd"/>
      <w:r w:rsidRPr="00CF0620">
        <w:rPr>
          <w:b/>
          <w:bCs/>
        </w:rPr>
        <w:t xml:space="preserve">, </w:t>
      </w:r>
      <w:proofErr w:type="spellStart"/>
      <w:r w:rsidRPr="00CF0620">
        <w:rPr>
          <w:b/>
          <w:bCs/>
        </w:rPr>
        <w:t>EventArgs</w:t>
      </w:r>
      <w:proofErr w:type="spellEnd"/>
      <w:r w:rsidRPr="00CF0620">
        <w:rPr>
          <w:b/>
          <w:bCs/>
        </w:rPr>
        <w:t>)</w:t>
      </w:r>
      <w:r w:rsidRPr="00CF0620">
        <w:t xml:space="preserve"> были добавлены команды для завершения редактирования данных в таблицах. Формирование запроса и его отправка на сервер базы данных выполняется </w:t>
      </w:r>
      <w:r w:rsidRPr="00CF0620">
        <w:t>в рамках методов,</w:t>
      </w:r>
      <w:r w:rsidRPr="00CF0620">
        <w:t xml:space="preserve"> сгенерированных мастером настройки источников данных.</w:t>
      </w:r>
    </w:p>
    <w:p w14:paraId="3C8A7F65" w14:textId="284625FA" w:rsidR="00CF0620" w:rsidRDefault="00CF0620" w:rsidP="009D2202"/>
    <w:p w14:paraId="5CF6386B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&gt;</w:t>
      </w:r>
    </w:p>
    <w:p w14:paraId="6CDF4652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Сохранение элементов в таблицы</w:t>
      </w:r>
    </w:p>
    <w:p w14:paraId="4C99B5BE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&lt;/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&gt;</w:t>
      </w:r>
    </w:p>
    <w:p w14:paraId="3FDE20E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SaveItem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47A1007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069B475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Validate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0E0DCA3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212D35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bindingSourceEquipment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67421E5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6E9223B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77708A2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bindingSourceSuppliers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3370EB6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0E02FA2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23426A34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tableAdapterManager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UpdateAll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dataSetLessonsUrfu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45F118CB" w14:textId="77777777" w:rsidR="00CF0620" w:rsidRDefault="00CF0620" w:rsidP="00CF0620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262BAAF5" w14:textId="188653E7" w:rsidR="00CF0620" w:rsidRDefault="00CF0620" w:rsidP="009D2202"/>
    <w:p w14:paraId="15BC7C95" w14:textId="462CEC30" w:rsidR="00CF0620" w:rsidRDefault="00CF0620" w:rsidP="00CF0620">
      <w:r>
        <w:t xml:space="preserve">Для всех табличных преставлений используется один обработчик события </w:t>
      </w:r>
      <w:proofErr w:type="spellStart"/>
      <w:r w:rsidRPr="00CF0620">
        <w:rPr>
          <w:b/>
          <w:bCs/>
        </w:rPr>
        <w:t>SelectionChanged</w:t>
      </w:r>
      <w:proofErr w:type="spellEnd"/>
      <w:r>
        <w:t xml:space="preserve">. Как и в прошлых лабораторных работах он выполняет смену источника данных для панели навигации, переключение связанного источника данных для </w:t>
      </w:r>
      <w:proofErr w:type="spellStart"/>
      <w:r w:rsidRPr="00CF0620">
        <w:rPr>
          <w:b/>
          <w:bCs/>
        </w:rPr>
        <w:t>bindingSourceResponsibility</w:t>
      </w:r>
      <w:proofErr w:type="spellEnd"/>
      <w:r>
        <w:t xml:space="preserve"> (если фокус находится в таблицах «Ответственные» и «Оборудование»), а также отображения значений тек</w:t>
      </w:r>
      <w:r>
        <w:t>у</w:t>
      </w:r>
      <w:r>
        <w:t>щей строки таблицы-связки «Ответственность за оборудование» в текстовых полях.</w:t>
      </w:r>
    </w:p>
    <w:p w14:paraId="7B041613" w14:textId="77777777" w:rsidR="00CF0620" w:rsidRDefault="00CF0620" w:rsidP="00CF0620"/>
    <w:p w14:paraId="744D78FE" w14:textId="66CFCEB6" w:rsidR="00CF0620" w:rsidRDefault="00CF0620" w:rsidP="00CF0620">
      <w:r>
        <w:t>Так как таблица-связка «Ответственность за оборудование» имеет внешний ключ, связанный с таблицей-справочником «Причина возврата», обработчик не выполняет полный перенос значений из исходной таблицы в текстовые поля. Для последнего столбца выполняется поиск текстового значения методом перебора.</w:t>
      </w:r>
    </w:p>
    <w:p w14:paraId="4B964FF4" w14:textId="446DDA4F" w:rsidR="00CF0620" w:rsidRDefault="00CF0620" w:rsidP="009D2202"/>
    <w:p w14:paraId="45422925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&gt;</w:t>
      </w:r>
    </w:p>
    <w:p w14:paraId="16313FCB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/// Обработчик </w:t>
      </w:r>
      <w:proofErr w:type="gram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события</w:t>
      </w:r>
      <w:proofErr w:type="gram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 выполняющий смену источника данных для панели навигации, при выборе элемента,</w:t>
      </w:r>
    </w:p>
    <w:p w14:paraId="7A690FEE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/// а также изменение полей текущей записи в 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GroupBox</w:t>
      </w:r>
      <w:proofErr w:type="spellEnd"/>
    </w:p>
    <w:p w14:paraId="2B951EB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/// &lt;/summary&gt;</w:t>
      </w:r>
    </w:p>
    <w:p w14:paraId="12C812B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SelectionChanged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08203B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36D46CA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var 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!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proofErr w:type="gram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0E5903D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var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07F5C37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A57D2E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textBoxCurrentId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1643476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textBoxCurrentResponsible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E181A8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textBoxCurrentEquipment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6DBDB50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textBoxCurrentDateOfReceiving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1D5E80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textBoxCurrentReturnDate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632B6A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textBoxCurrentPurposeOfUse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295C5F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textBoxCurrentReasonForReturn</w:t>
      </w:r>
      <w:proofErr w:type="spellEnd"/>
    </w:p>
    <w:p w14:paraId="46D7548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4DD30F7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3506520E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E86B18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Изменяем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привязку</w:t>
      </w:r>
    </w:p>
    <w:p w14:paraId="2055B56E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bindingSourceEquipment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131DFC94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006F756A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bindingSourceResponsibility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source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;</w:t>
      </w:r>
    </w:p>
    <w:p w14:paraId="4EF8071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DataMember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FK_Responsibility_Equipment</w:t>
      </w:r>
      <w:proofErr w:type="spellEnd"/>
      <w:proofErr w:type="gram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1C352EA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3F4AFF6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bindingSourceResponsible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3B33EFC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5281657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source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491ED32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DataMember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FK_Responsibility_Responsible</w:t>
      </w:r>
      <w:proofErr w:type="spellEnd"/>
      <w:proofErr w:type="gram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3E979D9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9849D1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F8A636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Изменяем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значения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полей</w:t>
      </w:r>
    </w:p>
    <w:p w14:paraId="0B14322D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!</w:t>
      </w:r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0D58DF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3BB3F74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var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&lt;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Length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-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++)</w:t>
      </w:r>
    </w:p>
    <w:p w14:paraId="022126C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CD9293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</w:t>
      </w:r>
      <w:proofErr w:type="gram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420EC7B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C0FE8A8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95D4B9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Поиск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названия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причины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возврата</w:t>
      </w:r>
    </w:p>
    <w:p w14:paraId="2B29186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var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reasonForReturnId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spellEnd"/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Length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-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Value ??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""</w:t>
      </w:r>
      <w:proofErr w:type="gramStart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6298E9C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foreach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DataGridViewRow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row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Rows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1F4D350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FF86785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spellEnd"/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reasonForReturnId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7A83D9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C4EE56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textBoxCurrentReasonForReturn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spellEnd"/>
      <w:proofErr w:type="gram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79C27DD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gramStart"/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break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3561DB8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062E7AD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02C676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textBoxCurrentReasonForReturn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02886CB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6C01B3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2E22D8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</w:p>
    <w:p w14:paraId="49F8BB1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62EBD58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foreach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var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proofErr w:type="spellEnd"/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A22BE3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1E76D3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7655A3C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E79107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157972C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6F353C6B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tablesBindingNavigator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</w:t>
      </w:r>
      <w:proofErr w:type="spellEnd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source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685BC5F0" w14:textId="77777777" w:rsidR="00CF0620" w:rsidRDefault="00CF0620" w:rsidP="00CF0620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493E2B7D" w14:textId="77777777" w:rsidR="00CF0620" w:rsidRDefault="00CF0620" w:rsidP="00CF0620">
      <w:pPr>
        <w:ind w:firstLine="0"/>
      </w:pPr>
    </w:p>
    <w:p w14:paraId="77C5D356" w14:textId="76E370BC" w:rsidR="005307E5" w:rsidRPr="009D2202" w:rsidRDefault="009A4A16" w:rsidP="00C43F8F">
      <w:pPr>
        <w:pStyle w:val="1"/>
        <w:jc w:val="both"/>
      </w:pPr>
      <w:bookmarkStart w:id="12" w:name="_Toc127125204"/>
      <w:r w:rsidRPr="009A4A16">
        <w:t>4</w:t>
      </w:r>
      <w:r w:rsidR="00BE30D1" w:rsidRPr="009D2202">
        <w:t xml:space="preserve"> </w:t>
      </w:r>
      <w:r w:rsidR="00C43F8F" w:rsidRPr="00C43F8F">
        <w:t>Подробное</w:t>
      </w:r>
      <w:r w:rsidR="00C43F8F" w:rsidRPr="009D2202">
        <w:t xml:space="preserve"> </w:t>
      </w:r>
      <w:r w:rsidR="00C43F8F" w:rsidRPr="00C43F8F">
        <w:t>описание</w:t>
      </w:r>
      <w:r w:rsidR="00C43F8F" w:rsidRPr="009D2202">
        <w:t xml:space="preserve"> </w:t>
      </w:r>
      <w:r w:rsidRPr="009A4A16">
        <w:t>впервые использованных свойств и методов</w:t>
      </w:r>
      <w:bookmarkEnd w:id="12"/>
    </w:p>
    <w:p w14:paraId="545A5918" w14:textId="762A9C63" w:rsidR="00CF0620" w:rsidRDefault="00CF0620" w:rsidP="00CF0620">
      <w:r>
        <w:t xml:space="preserve">Свойства класса </w:t>
      </w:r>
      <w:proofErr w:type="spellStart"/>
      <w:r w:rsidRPr="00CF0620">
        <w:rPr>
          <w:b/>
          <w:bCs/>
          <w:i/>
          <w:iCs/>
        </w:rPr>
        <w:t>DataGridViewComboBoxColumn</w:t>
      </w:r>
      <w:proofErr w:type="spellEnd"/>
      <w:r>
        <w:t>:</w:t>
      </w:r>
    </w:p>
    <w:p w14:paraId="36536EA2" w14:textId="418EA05D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proofErr w:type="spellStart"/>
      <w:r w:rsidRPr="00CF0620">
        <w:rPr>
          <w:b/>
          <w:bCs/>
        </w:rPr>
        <w:t>ColumnType</w:t>
      </w:r>
      <w:proofErr w:type="spellEnd"/>
      <w:r>
        <w:t xml:space="preserve">: отображает тип </w:t>
      </w:r>
      <w:r>
        <w:t>столбца,</w:t>
      </w:r>
      <w:r>
        <w:t xml:space="preserve"> используемый табличным представлением </w:t>
      </w:r>
      <w:proofErr w:type="spellStart"/>
      <w:r w:rsidRPr="00CB4C8A">
        <w:rPr>
          <w:b/>
          <w:bCs/>
          <w:i/>
          <w:iCs/>
        </w:rPr>
        <w:t>DataGridView</w:t>
      </w:r>
      <w:proofErr w:type="spellEnd"/>
      <w:r>
        <w:t xml:space="preserve">. Отображается в конструкторе формы, как свойство, но представляет собой класс объекта, </w:t>
      </w:r>
      <w:r>
        <w:t>представляющего</w:t>
      </w:r>
      <w:r>
        <w:t xml:space="preserve"> собой столбец.</w:t>
      </w:r>
    </w:p>
    <w:p w14:paraId="39C7FC8B" w14:textId="38E6B2CC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proofErr w:type="spellStart"/>
      <w:r w:rsidRPr="00CB4C8A">
        <w:rPr>
          <w:b/>
          <w:bCs/>
        </w:rPr>
        <w:t>DataSource</w:t>
      </w:r>
      <w:proofErr w:type="spellEnd"/>
      <w:r>
        <w:t xml:space="preserve">: возвращает или принимает источник данных, </w:t>
      </w:r>
      <w:r>
        <w:t>используемый</w:t>
      </w:r>
      <w:r>
        <w:t xml:space="preserve"> для отображения значений в столбце. Принимает и </w:t>
      </w:r>
      <w:r>
        <w:t>возвращает</w:t>
      </w:r>
      <w:r>
        <w:t xml:space="preserve"> объект типа </w:t>
      </w:r>
      <w:proofErr w:type="spellStart"/>
      <w:r w:rsidRPr="00CB4C8A">
        <w:rPr>
          <w:b/>
          <w:bCs/>
          <w:i/>
          <w:iCs/>
        </w:rPr>
        <w:t>object</w:t>
      </w:r>
      <w:proofErr w:type="spellEnd"/>
      <w:r>
        <w:t>.</w:t>
      </w:r>
    </w:p>
    <w:p w14:paraId="4830231B" w14:textId="735C2054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proofErr w:type="spellStart"/>
      <w:r w:rsidRPr="00CB4C8A">
        <w:rPr>
          <w:b/>
          <w:bCs/>
        </w:rPr>
        <w:t>DisplayMember</w:t>
      </w:r>
      <w:proofErr w:type="spellEnd"/>
      <w:r>
        <w:t xml:space="preserve">: возвращает или принимает строку, указывающую </w:t>
      </w:r>
      <w:r w:rsidR="00CB4C8A">
        <w:t>на столбец,</w:t>
      </w:r>
      <w:r>
        <w:t xml:space="preserve"> используемый для получения доступных значений для отображения в столбце. Принимает и </w:t>
      </w:r>
      <w:r w:rsidR="00CB4C8A">
        <w:t>возвращает</w:t>
      </w:r>
      <w:r>
        <w:t xml:space="preserve"> объект типа </w:t>
      </w:r>
      <w:proofErr w:type="spellStart"/>
      <w:r w:rsidRPr="00CB4C8A">
        <w:rPr>
          <w:b/>
          <w:bCs/>
          <w:i/>
          <w:iCs/>
        </w:rPr>
        <w:t>string</w:t>
      </w:r>
      <w:proofErr w:type="spellEnd"/>
      <w:r>
        <w:t>.</w:t>
      </w:r>
    </w:p>
    <w:p w14:paraId="240DE454" w14:textId="3DA5CDBA" w:rsidR="009A4A16" w:rsidRPr="009A4A16" w:rsidRDefault="00CF0620" w:rsidP="00CF0620">
      <w:pPr>
        <w:pStyle w:val="a"/>
        <w:numPr>
          <w:ilvl w:val="0"/>
          <w:numId w:val="29"/>
        </w:numPr>
        <w:ind w:left="0" w:firstLine="709"/>
      </w:pPr>
      <w:proofErr w:type="spellStart"/>
      <w:r w:rsidRPr="00CB4C8A">
        <w:rPr>
          <w:b/>
          <w:bCs/>
          <w:i/>
          <w:iCs/>
        </w:rPr>
        <w:t>ValueMember</w:t>
      </w:r>
      <w:proofErr w:type="spellEnd"/>
      <w:r>
        <w:t xml:space="preserve">: возвращает или принимает строку, указывающую </w:t>
      </w:r>
      <w:r w:rsidR="00CB4C8A">
        <w:t>на столбец,</w:t>
      </w:r>
      <w:r>
        <w:t xml:space="preserve"> </w:t>
      </w:r>
      <w:r w:rsidR="00CB4C8A">
        <w:t>используемый</w:t>
      </w:r>
      <w:r>
        <w:t xml:space="preserve"> для получения значений, которые будут </w:t>
      </w:r>
      <w:r w:rsidR="00CB4C8A">
        <w:t>сопоставляться</w:t>
      </w:r>
      <w:r>
        <w:t xml:space="preserve"> </w:t>
      </w:r>
      <w:r w:rsidR="00CB4C8A">
        <w:t>со значениями</w:t>
      </w:r>
      <w:r>
        <w:t xml:space="preserve"> </w:t>
      </w:r>
      <w:proofErr w:type="spellStart"/>
      <w:r w:rsidRPr="00CB4C8A">
        <w:rPr>
          <w:b/>
          <w:bCs/>
        </w:rPr>
        <w:t>DisplayMember</w:t>
      </w:r>
      <w:proofErr w:type="spellEnd"/>
      <w:r>
        <w:t xml:space="preserve">. Принимает и </w:t>
      </w:r>
      <w:r w:rsidR="00CB4C8A">
        <w:t>возвращает</w:t>
      </w:r>
      <w:r>
        <w:t xml:space="preserve"> объект типа </w:t>
      </w:r>
      <w:proofErr w:type="spellStart"/>
      <w:r w:rsidRPr="00CB4C8A">
        <w:rPr>
          <w:b/>
          <w:bCs/>
          <w:i/>
          <w:iCs/>
        </w:rPr>
        <w:t>string</w:t>
      </w:r>
      <w:proofErr w:type="spellEnd"/>
      <w:r>
        <w:t>.</w:t>
      </w:r>
    </w:p>
    <w:sectPr w:rsidR="009A4A16" w:rsidRPr="009A4A16" w:rsidSect="005A3B77">
      <w:headerReference w:type="default" r:id="rId17"/>
      <w:footerReference w:type="default" r:id="rId18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CBFB" w14:textId="77777777" w:rsidR="008E0AEA" w:rsidRDefault="008E0AEA" w:rsidP="00682009">
      <w:pPr>
        <w:spacing w:line="240" w:lineRule="auto"/>
      </w:pPr>
      <w:r>
        <w:separator/>
      </w:r>
    </w:p>
  </w:endnote>
  <w:endnote w:type="continuationSeparator" w:id="0">
    <w:p w14:paraId="154392F4" w14:textId="77777777" w:rsidR="008E0AEA" w:rsidRDefault="008E0AEA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8F80" w14:textId="77777777" w:rsidR="008E0AEA" w:rsidRDefault="008E0AEA" w:rsidP="00682009">
      <w:pPr>
        <w:spacing w:line="240" w:lineRule="auto"/>
      </w:pPr>
      <w:r>
        <w:separator/>
      </w:r>
    </w:p>
  </w:footnote>
  <w:footnote w:type="continuationSeparator" w:id="0">
    <w:p w14:paraId="60AB096E" w14:textId="77777777" w:rsidR="008E0AEA" w:rsidRDefault="008E0AEA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343F6"/>
    <w:multiLevelType w:val="hybridMultilevel"/>
    <w:tmpl w:val="B7941C4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242D8"/>
    <w:multiLevelType w:val="hybridMultilevel"/>
    <w:tmpl w:val="896C95D6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66B81C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8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6"/>
  </w:num>
  <w:num w:numId="4" w16cid:durableId="657998145">
    <w:abstractNumId w:val="5"/>
  </w:num>
  <w:num w:numId="5" w16cid:durableId="76950576">
    <w:abstractNumId w:val="26"/>
  </w:num>
  <w:num w:numId="6" w16cid:durableId="835220799">
    <w:abstractNumId w:val="10"/>
  </w:num>
  <w:num w:numId="7" w16cid:durableId="904681693">
    <w:abstractNumId w:val="28"/>
  </w:num>
  <w:num w:numId="8" w16cid:durableId="1174800319">
    <w:abstractNumId w:val="27"/>
  </w:num>
  <w:num w:numId="9" w16cid:durableId="2143307537">
    <w:abstractNumId w:val="6"/>
  </w:num>
  <w:num w:numId="10" w16cid:durableId="2065368105">
    <w:abstractNumId w:val="21"/>
  </w:num>
  <w:num w:numId="11" w16cid:durableId="903371164">
    <w:abstractNumId w:val="17"/>
  </w:num>
  <w:num w:numId="12" w16cid:durableId="1580941651">
    <w:abstractNumId w:val="25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9"/>
  </w:num>
  <w:num w:numId="17" w16cid:durableId="2014337318">
    <w:abstractNumId w:val="24"/>
  </w:num>
  <w:num w:numId="18" w16cid:durableId="765225138">
    <w:abstractNumId w:val="20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2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8"/>
  </w:num>
  <w:num w:numId="27" w16cid:durableId="1263761764">
    <w:abstractNumId w:val="23"/>
  </w:num>
  <w:num w:numId="28" w16cid:durableId="1677148969">
    <w:abstractNumId w:val="12"/>
  </w:num>
  <w:num w:numId="29" w16cid:durableId="84274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96B86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D7B25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0AEA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B4C8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0620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13</Pages>
  <Words>1298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</vt:lpstr>
      <vt:lpstr>2 Образы экранных форм в конструкторе и исполняемой программе с пояснениями элем</vt:lpstr>
      <vt:lpstr>3 Добавленный программный код с пояснениями</vt:lpstr>
      <vt:lpstr>4 Подробное описание впервые использованных свойств и методов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788</cp:revision>
  <cp:lastPrinted>2022-11-26T06:32:00Z</cp:lastPrinted>
  <dcterms:created xsi:type="dcterms:W3CDTF">2022-03-21T10:23:00Z</dcterms:created>
  <dcterms:modified xsi:type="dcterms:W3CDTF">2023-02-13T09:59:00Z</dcterms:modified>
</cp:coreProperties>
</file>