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B00020"/>
          <w:sz w:val="16"/>
        </w:rPr>
        <w:t>FICTIF / LAB</w:t>
      </w:r>
    </w:p>
    <w:p>
      <w:pPr>
        <w:pStyle w:val="Title"/>
      </w:pPr>
      <w:r>
        <w:t>Dossier architecture SI - NovaRetail Group</w:t>
      </w:r>
    </w:p>
    <w:p>
      <w:r>
        <w:rPr>
          <w:color w:val="555555"/>
          <w:sz w:val="22"/>
        </w:rPr>
        <w:t>Extraits applicatifs, infrastructures et flux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026"/>
      </w:tblGrid>
      <w:tr>
        <w:tc>
          <w:tcPr>
            <w:tcW w:type="dxa" w:w="14026"/>
            <w:shd w:fill="EAF6F2"/>
            <w:tcBorders>
              <w:top w:sz="8" w:val="single" w:color="B7DCD2"/>
              <w:left w:sz="8" w:val="single" w:color="B7DCD2"/>
              <w:bottom w:sz="8" w:val="single" w:color="B7DCD2"/>
              <w:right w:sz="8" w:val="single" w:color="B7DCD2"/>
            </w:tcBorders>
          </w:tcPr>
          <w:p>
            <w:r>
              <w:rPr>
                <w:b/>
                <w:color w:val="136F63"/>
                <w:sz w:val="20"/>
              </w:rPr>
              <w:t>Lecture recommandee</w:t>
            </w:r>
          </w:p>
          <w:p>
            <w:pPr>
              <w:spacing w:after="40"/>
            </w:pPr>
            <w:r>
              <w:t>Le BIA ne suffit pas. Les dependances critiques sont reparties entre architecture, catalogue API, flux reseau, tickets et runbooks.</w:t>
            </w:r>
          </w:p>
        </w:tc>
      </w:tr>
    </w:tbl>
    <w:p/>
    <w:p>
      <w:pPr>
        <w:pStyle w:val="Heading1"/>
      </w:pPr>
      <w:r>
        <w:t>Vue applicative P01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c>
          <w:tcPr>
            <w:tcW w:type="dxa" w:w="3506"/>
            <w:shd w:fill="136F63"/>
            <w:vAlign w:val="center"/>
          </w:tcPr>
          <w:p>
            <w:r>
              <w:rPr>
                <w:b/>
                <w:color w:val="FFFFFF"/>
                <w:sz w:val="16"/>
              </w:rPr>
              <w:t>Etape</w:t>
            </w:r>
          </w:p>
        </w:tc>
        <w:tc>
          <w:tcPr>
            <w:tcW w:type="dxa" w:w="3506"/>
            <w:shd w:fill="136F63"/>
            <w:vAlign w:val="center"/>
          </w:tcPr>
          <w:p>
            <w:r>
              <w:rPr>
                <w:b/>
                <w:color w:val="FFFFFF"/>
                <w:sz w:val="16"/>
              </w:rPr>
              <w:t>Composant</w:t>
            </w:r>
          </w:p>
        </w:tc>
        <w:tc>
          <w:tcPr>
            <w:tcW w:type="dxa" w:w="3506"/>
            <w:shd w:fill="136F63"/>
            <w:vAlign w:val="center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3506"/>
            <w:shd w:fill="136F63"/>
            <w:vAlign w:val="center"/>
          </w:tcPr>
          <w:p>
            <w:r>
              <w:rPr>
                <w:b/>
                <w:color w:val="FFFFFF"/>
                <w:sz w:val="16"/>
              </w:rPr>
              <w:t>Dependances</w:t>
            </w:r>
          </w:p>
        </w:tc>
      </w:tr>
      <w:tr>
        <w:tc>
          <w:tcPr>
            <w:tcW w:type="dxa" w:w="3506"/>
            <w:vAlign w:val="top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506"/>
            <w:vAlign w:val="top"/>
          </w:tcPr>
          <w:p>
            <w:r>
              <w:rPr>
                <w:sz w:val="16"/>
              </w:rPr>
              <w:t>ECOM-WEB</w:t>
            </w:r>
          </w:p>
        </w:tc>
        <w:tc>
          <w:tcPr>
            <w:tcW w:type="dxa" w:w="3506"/>
            <w:vAlign w:val="top"/>
          </w:tcPr>
          <w:p>
            <w:r>
              <w:rPr>
                <w:sz w:val="16"/>
              </w:rPr>
              <w:t>Front client web/mobile</w:t>
            </w:r>
          </w:p>
        </w:tc>
        <w:tc>
          <w:tcPr>
            <w:tcW w:type="dxa" w:w="3506"/>
            <w:vAlign w:val="top"/>
          </w:tcPr>
          <w:p>
            <w:r>
              <w:rPr>
                <w:sz w:val="16"/>
              </w:rPr>
              <w:t>API-GW, DNS, PKI, REDIS-CART</w:t>
            </w:r>
          </w:p>
        </w:tc>
      </w:tr>
      <w:tr>
        <w:tc>
          <w:tcPr>
            <w:tcW w:type="dxa" w:w="3506"/>
            <w:vAlign w:val="top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506"/>
            <w:vAlign w:val="top"/>
          </w:tcPr>
          <w:p>
            <w:r>
              <w:rPr>
                <w:sz w:val="16"/>
              </w:rPr>
              <w:t>API-GW</w:t>
            </w:r>
          </w:p>
        </w:tc>
        <w:tc>
          <w:tcPr>
            <w:tcW w:type="dxa" w:w="3506"/>
            <w:vAlign w:val="top"/>
          </w:tcPr>
          <w:p>
            <w:r>
              <w:rPr>
                <w:sz w:val="16"/>
              </w:rPr>
              <w:t>Controle entree API, auth, routage</w:t>
            </w:r>
          </w:p>
        </w:tc>
        <w:tc>
          <w:tcPr>
            <w:tcW w:type="dxa" w:w="3506"/>
            <w:vAlign w:val="top"/>
          </w:tcPr>
          <w:p>
            <w:r>
              <w:rPr>
                <w:sz w:val="16"/>
              </w:rPr>
              <w:t>IAM-SSO, ORDER-MGT, certificats, configuration GitOps</w:t>
            </w:r>
          </w:p>
        </w:tc>
      </w:tr>
      <w:tr>
        <w:tc>
          <w:tcPr>
            <w:tcW w:type="dxa" w:w="3506"/>
            <w:vAlign w:val="top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506"/>
            <w:vAlign w:val="top"/>
          </w:tcPr>
          <w:p>
            <w:r>
              <w:rPr>
                <w:sz w:val="16"/>
              </w:rPr>
              <w:t>ORDER-MGT</w:t>
            </w:r>
          </w:p>
        </w:tc>
        <w:tc>
          <w:tcPr>
            <w:tcW w:type="dxa" w:w="3506"/>
            <w:vAlign w:val="top"/>
          </w:tcPr>
          <w:p>
            <w:r>
              <w:rPr>
                <w:sz w:val="16"/>
              </w:rPr>
              <w:t>Orchestration commande</w:t>
            </w:r>
          </w:p>
        </w:tc>
        <w:tc>
          <w:tcPr>
            <w:tcW w:type="dxa" w:w="3506"/>
            <w:vAlign w:val="top"/>
          </w:tcPr>
          <w:p>
            <w:r>
              <w:rPr>
                <w:sz w:val="16"/>
              </w:rPr>
              <w:t>ORDERDB, SAP-ERP, PAY-ADAPTER, SECRETS-VAULT, MQ-BROKER</w:t>
            </w:r>
          </w:p>
        </w:tc>
      </w:tr>
      <w:tr>
        <w:tc>
          <w:tcPr>
            <w:tcW w:type="dxa" w:w="3506"/>
            <w:vAlign w:val="top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506"/>
            <w:vAlign w:val="top"/>
          </w:tcPr>
          <w:p>
            <w:r>
              <w:rPr>
                <w:sz w:val="16"/>
              </w:rPr>
              <w:t>SAP-ERP</w:t>
            </w:r>
          </w:p>
        </w:tc>
        <w:tc>
          <w:tcPr>
            <w:tcW w:type="dxa" w:w="3506"/>
            <w:vAlign w:val="top"/>
          </w:tcPr>
          <w:p>
            <w:r>
              <w:rPr>
                <w:sz w:val="16"/>
              </w:rPr>
              <w:t>Prix, stock, reservation, facturation</w:t>
            </w:r>
          </w:p>
        </w:tc>
        <w:tc>
          <w:tcPr>
            <w:tcW w:type="dxa" w:w="3506"/>
            <w:vAlign w:val="top"/>
          </w:tcPr>
          <w:p>
            <w:r>
              <w:rPr>
                <w:sz w:val="16"/>
              </w:rPr>
              <w:t>ERPDB, AD, DNS, vCenter</w:t>
            </w:r>
          </w:p>
        </w:tc>
      </w:tr>
      <w:tr>
        <w:tc>
          <w:tcPr>
            <w:tcW w:type="dxa" w:w="3506"/>
            <w:vAlign w:val="top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506"/>
            <w:vAlign w:val="top"/>
          </w:tcPr>
          <w:p>
            <w:r>
              <w:rPr>
                <w:sz w:val="16"/>
              </w:rPr>
              <w:t>PAY-ADAPTER</w:t>
            </w:r>
          </w:p>
        </w:tc>
        <w:tc>
          <w:tcPr>
            <w:tcW w:type="dxa" w:w="3506"/>
            <w:vAlign w:val="top"/>
          </w:tcPr>
          <w:p>
            <w:r>
              <w:rPr>
                <w:sz w:val="16"/>
              </w:rPr>
              <w:t>Autorisation paiement</w:t>
            </w:r>
          </w:p>
        </w:tc>
        <w:tc>
          <w:tcPr>
            <w:tcW w:type="dxa" w:w="3506"/>
            <w:vAlign w:val="top"/>
          </w:tcPr>
          <w:p>
            <w:r>
              <w:rPr>
                <w:sz w:val="16"/>
              </w:rPr>
              <w:t>VPN-PAYMENT, certificats PSP, secrets</w:t>
            </w:r>
          </w:p>
        </w:tc>
      </w:tr>
    </w:tbl>
    <w:p/>
    <w:p>
      <w:pPr>
        <w:pStyle w:val="Heading1"/>
      </w:pPr>
      <w:r>
        <w:t>Points d architecture qui doivent faire reflechir</w:t>
      </w:r>
    </w:p>
    <w:p>
      <w:pPr>
        <w:pStyle w:val="ListBullet"/>
      </w:pPr>
      <w:r>
        <w:t>ORDER-MGT n est pas dans le BIA, mais il apparait dans l architecture, les flux reseau et le catalogue API.</w:t>
      </w:r>
    </w:p>
    <w:p>
      <w:pPr>
        <w:pStyle w:val="ListBullet"/>
      </w:pPr>
      <w:r>
        <w:t>SECRETS-VAULT est un prerequis central des workloads Kubernetes.</w:t>
      </w:r>
    </w:p>
    <w:p>
      <w:pPr>
        <w:pStyle w:val="ListBullet"/>
      </w:pPr>
      <w:r>
        <w:t>API-GW a recu un hotfix manuel non confirme dans GitOps.</w:t>
      </w:r>
    </w:p>
    <w:p>
      <w:pPr>
        <w:pStyle w:val="ListBullet"/>
      </w:pPr>
      <w:r>
        <w:t>Le DNS public api.novaretail.eu semble stale selon un ticket de changement.</w:t>
      </w:r>
    </w:p>
    <w:p>
      <w:pPr>
        <w:pStyle w:val="ListBullet"/>
      </w:pPr>
      <w:r>
        <w:t>La reconstruction AD/DNS/PKI est un prerequis, pas un detail technique.</w:t>
      </w:r>
    </w:p>
    <w:p>
      <w:pPr>
        <w:pStyle w:val="Heading1"/>
      </w:pPr>
      <w:r>
        <w:t>Extraits de dependances applicatives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4"/>
        <w:gridCol w:w="2004"/>
        <w:gridCol w:w="2004"/>
        <w:gridCol w:w="2004"/>
        <w:gridCol w:w="2004"/>
        <w:gridCol w:w="2004"/>
        <w:gridCol w:w="2004"/>
      </w:tblGrid>
      <w:tr>
        <w:tc>
          <w:tcPr>
            <w:tcW w:type="dxa" w:w="2004"/>
            <w:shd w:fill="136F63"/>
            <w:vAlign w:val="center"/>
          </w:tcPr>
          <w:p>
            <w:r>
              <w:rPr>
                <w:b/>
                <w:color w:val="FFFFFF"/>
                <w:sz w:val="13"/>
              </w:rPr>
              <w:t>Source</w:t>
            </w:r>
          </w:p>
        </w:tc>
        <w:tc>
          <w:tcPr>
            <w:tcW w:type="dxa" w:w="2004"/>
            <w:shd w:fill="136F63"/>
            <w:vAlign w:val="center"/>
          </w:tcPr>
          <w:p>
            <w:r>
              <w:rPr>
                <w:b/>
                <w:color w:val="FFFFFF"/>
                <w:sz w:val="13"/>
              </w:rPr>
              <w:t>Target</w:t>
            </w:r>
          </w:p>
        </w:tc>
        <w:tc>
          <w:tcPr>
            <w:tcW w:type="dxa" w:w="2004"/>
            <w:shd w:fill="136F63"/>
            <w:vAlign w:val="center"/>
          </w:tcPr>
          <w:p>
            <w:r>
              <w:rPr>
                <w:b/>
                <w:color w:val="FFFFFF"/>
                <w:sz w:val="13"/>
              </w:rPr>
              <w:t>Dependency_Type</w:t>
            </w:r>
          </w:p>
        </w:tc>
        <w:tc>
          <w:tcPr>
            <w:tcW w:type="dxa" w:w="2004"/>
            <w:shd w:fill="136F63"/>
            <w:vAlign w:val="center"/>
          </w:tcPr>
          <w:p>
            <w:r>
              <w:rPr>
                <w:b/>
                <w:color w:val="FFFFFF"/>
                <w:sz w:val="13"/>
              </w:rPr>
              <w:t>Criticality</w:t>
            </w:r>
          </w:p>
        </w:tc>
        <w:tc>
          <w:tcPr>
            <w:tcW w:type="dxa" w:w="2004"/>
            <w:shd w:fill="136F63"/>
            <w:vAlign w:val="center"/>
          </w:tcPr>
          <w:p>
            <w:r>
              <w:rPr>
                <w:b/>
                <w:color w:val="FFFFFF"/>
                <w:sz w:val="13"/>
              </w:rPr>
              <w:t>Confidence</w:t>
            </w:r>
          </w:p>
        </w:tc>
        <w:tc>
          <w:tcPr>
            <w:tcW w:type="dxa" w:w="2004"/>
            <w:shd w:fill="136F63"/>
            <w:vAlign w:val="center"/>
          </w:tcPr>
          <w:p>
            <w:r>
              <w:rPr>
                <w:b/>
                <w:color w:val="FFFFFF"/>
                <w:sz w:val="13"/>
              </w:rPr>
              <w:t>Source_Document</w:t>
            </w:r>
          </w:p>
        </w:tc>
        <w:tc>
          <w:tcPr>
            <w:tcW w:type="dxa" w:w="2004"/>
            <w:shd w:fill="136F63"/>
            <w:vAlign w:val="center"/>
          </w:tcPr>
          <w:p>
            <w:r>
              <w:rPr>
                <w:b/>
                <w:color w:val="FFFFFF"/>
                <w:sz w:val="13"/>
              </w:rPr>
              <w:t>Notes</w:t>
            </w:r>
          </w:p>
        </w:tc>
      </w:tr>
      <w:tr>
        <w:tc>
          <w:tcPr>
            <w:tcW w:type="dxa" w:w="2004"/>
            <w:vAlign w:val="top"/>
          </w:tcPr>
          <w:p>
            <w:r>
              <w:rPr>
                <w:sz w:val="13"/>
              </w:rPr>
              <w:t>P01 Gestion commandes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ECOM-WEB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Business uses application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Blocker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BIA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Declare dans BIA</w:t>
            </w:r>
          </w:p>
        </w:tc>
      </w:tr>
      <w:tr>
        <w:tc>
          <w:tcPr>
            <w:tcW w:type="dxa" w:w="2004"/>
            <w:vAlign w:val="top"/>
          </w:tcPr>
          <w:p>
            <w:r>
              <w:rPr>
                <w:sz w:val="13"/>
              </w:rPr>
              <w:t>ECOM-WEB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DNS01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Name resolution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Blocker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Fiche ECOM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DNS absent du PRA ECOM</w:t>
            </w:r>
          </w:p>
        </w:tc>
      </w:tr>
      <w:tr>
        <w:tc>
          <w:tcPr>
            <w:tcW w:type="dxa" w:w="2004"/>
            <w:vAlign w:val="top"/>
          </w:tcPr>
          <w:p>
            <w:r>
              <w:rPr>
                <w:sz w:val="13"/>
              </w:rPr>
              <w:t>ECOM-WEB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PKI01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TLS certificate validation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Blocker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Medium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Architecture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Certificats API</w:t>
            </w:r>
          </w:p>
        </w:tc>
      </w:tr>
      <w:tr>
        <w:tc>
          <w:tcPr>
            <w:tcW w:type="dxa" w:w="2004"/>
            <w:vAlign w:val="top"/>
          </w:tcPr>
          <w:p>
            <w:r>
              <w:rPr>
                <w:sz w:val="13"/>
              </w:rPr>
              <w:t>ECOM-WEB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API-GW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API call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Blocker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Architecture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Front to API</w:t>
            </w:r>
          </w:p>
        </w:tc>
      </w:tr>
      <w:tr>
        <w:tc>
          <w:tcPr>
            <w:tcW w:type="dxa" w:w="2004"/>
            <w:vAlign w:val="top"/>
          </w:tcPr>
          <w:p>
            <w:r>
              <w:rPr>
                <w:sz w:val="13"/>
              </w:rPr>
              <w:t>ECOM-WEB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REDIS-CART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Session/cart cache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Degraded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Medium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Fiche ECOM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CMDB indique Retired?</w:t>
            </w:r>
          </w:p>
        </w:tc>
      </w:tr>
      <w:tr>
        <w:tc>
          <w:tcPr>
            <w:tcW w:type="dxa" w:w="2004"/>
            <w:vAlign w:val="top"/>
          </w:tcPr>
          <w:p>
            <w:r>
              <w:rPr>
                <w:sz w:val="13"/>
              </w:rPr>
              <w:t>API-GW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IAM-SSO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Token validation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Blocker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API Catalog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IAM-SSO absent CMDB volontairement</w:t>
            </w:r>
          </w:p>
        </w:tc>
      </w:tr>
      <w:tr>
        <w:tc>
          <w:tcPr>
            <w:tcW w:type="dxa" w:w="2004"/>
            <w:vAlign w:val="top"/>
          </w:tcPr>
          <w:p>
            <w:r>
              <w:rPr>
                <w:sz w:val="13"/>
              </w:rPr>
              <w:t>API-GW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ORDER-MGT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API call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Blocker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Architecture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Absent du BIA</w:t>
            </w:r>
          </w:p>
        </w:tc>
      </w:tr>
      <w:tr>
        <w:tc>
          <w:tcPr>
            <w:tcW w:type="dxa" w:w="2004"/>
            <w:vAlign w:val="top"/>
          </w:tcPr>
          <w:p>
            <w:r>
              <w:rPr>
                <w:sz w:val="13"/>
              </w:rPr>
              <w:t>ORDER-MGT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ORDERDB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Database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Blocker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Fiche ORDER-MGT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Absent du BIA</w:t>
            </w:r>
          </w:p>
        </w:tc>
      </w:tr>
      <w:tr>
        <w:tc>
          <w:tcPr>
            <w:tcW w:type="dxa" w:w="2004"/>
            <w:vAlign w:val="top"/>
          </w:tcPr>
          <w:p>
            <w:r>
              <w:rPr>
                <w:sz w:val="13"/>
              </w:rPr>
              <w:t>ORDER-MGT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SAP-ERP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Stock/pricing/reservation API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Blocker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Architecture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BIA simplifie en API-GW -&gt; SAP</w:t>
            </w:r>
          </w:p>
        </w:tc>
      </w:tr>
      <w:tr>
        <w:tc>
          <w:tcPr>
            <w:tcW w:type="dxa" w:w="2004"/>
            <w:vAlign w:val="top"/>
          </w:tcPr>
          <w:p>
            <w:r>
              <w:rPr>
                <w:sz w:val="13"/>
              </w:rPr>
              <w:t>ORDER-MGT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PAY-ADAPTER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Payment authorization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Blocker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Network Flow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Absent BIA</w:t>
            </w:r>
          </w:p>
        </w:tc>
      </w:tr>
      <w:tr>
        <w:tc>
          <w:tcPr>
            <w:tcW w:type="dxa" w:w="2004"/>
            <w:vAlign w:val="top"/>
          </w:tcPr>
          <w:p>
            <w:r>
              <w:rPr>
                <w:sz w:val="13"/>
              </w:rPr>
              <w:t>ORDER-MGT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MQ-BROKER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Async events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Important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Medium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Runbook Integration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Peut etre contourne en mode degrade 4h</w:t>
            </w:r>
          </w:p>
        </w:tc>
      </w:tr>
      <w:tr>
        <w:tc>
          <w:tcPr>
            <w:tcW w:type="dxa" w:w="2004"/>
            <w:vAlign w:val="top"/>
          </w:tcPr>
          <w:p>
            <w:r>
              <w:rPr>
                <w:sz w:val="13"/>
              </w:rPr>
              <w:t>ORDER-MGT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SECRETS-VAULT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Secrets retrieval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Blocker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K8S runbook</w:t>
            </w:r>
          </w:p>
        </w:tc>
        <w:tc>
          <w:tcPr>
            <w:tcW w:type="dxa" w:w="2004"/>
            <w:vAlign w:val="top"/>
          </w:tcPr>
          <w:p>
            <w:r>
              <w:rPr>
                <w:sz w:val="13"/>
              </w:rPr>
              <w:t>Absent BIA/PRA</w:t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850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4"/>
      </w:rPr>
      <w:t>FICTIF - Cyber Resilience Hackathon Lab - NovaRetail Group - Ne pas utiliser comme document client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36F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66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66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36F6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Cyber Resilience Hackathon Lab</dc:subject>
  <dc:creator>Kyndryl Cyber Resilience - fictitious lab generated for hackathon</dc:creator>
  <cp:keywords>cyber resilience, BIA, CMDB, AI agent, GraphRAG, hackathon, fictitious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