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  <w:color w:val="B00020"/>
          <w:sz w:val="16"/>
        </w:rPr>
        <w:t>FICTIF / LAB</w:t>
      </w:r>
    </w:p>
    <w:p>
      <w:pPr>
        <w:pStyle w:val="Title"/>
      </w:pPr>
      <w:r>
        <w:t>Dossier client fictif - NovaRetail Group</w:t>
      </w:r>
    </w:p>
    <w:p>
      <w:r>
        <w:rPr>
          <w:color w:val="555555"/>
          <w:sz w:val="22"/>
        </w:rPr>
        <w:t>Contexte metier et SI pour le hackathon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EAF6F2"/>
            <w:tcBorders>
              <w:top w:sz="8" w:val="single" w:color="B7DCD2"/>
              <w:left w:sz="8" w:val="single" w:color="B7DCD2"/>
              <w:bottom w:sz="8" w:val="single" w:color="B7DCD2"/>
              <w:right w:sz="8" w:val="single" w:color="B7DCD2"/>
            </w:tcBorders>
          </w:tcPr>
          <w:p>
            <w:r>
              <w:rPr>
                <w:b/>
                <w:color w:val="136F63"/>
                <w:sz w:val="20"/>
              </w:rPr>
              <w:t>Profil</w:t>
            </w:r>
          </w:p>
          <w:p>
            <w:pPr>
              <w:spacing w:after="40"/>
            </w:pPr>
            <w:r>
              <w:t>NovaRetail Group est une entreprise fictive de retail et e-commerce europeenne. Elle opere un site e-commerce, des magasins, un entrepot central, un SI hybride VMware/Azure et plusieurs services SaaS.</w:t>
            </w:r>
          </w:p>
        </w:tc>
      </w:tr>
    </w:tbl>
    <w:p/>
    <w:p>
      <w:pPr>
        <w:pStyle w:val="Heading1"/>
      </w:pPr>
      <w:r>
        <w:t>Organisation fictive</w:t>
      </w:r>
    </w:p>
    <w:p>
      <w:pPr>
        <w:pStyle w:val="ListBullet"/>
      </w:pPr>
      <w:r>
        <w:t>2 500 collaborateurs, 3 pays europeens, 180 magasins.</w:t>
      </w:r>
    </w:p>
    <w:p>
      <w:pPr>
        <w:pStyle w:val="ListBullet"/>
      </w:pPr>
      <w:r>
        <w:t>CA annuel fictif : 600 M EUR.</w:t>
      </w:r>
    </w:p>
    <w:p>
      <w:pPr>
        <w:pStyle w:val="ListBullet"/>
      </w:pPr>
      <w:r>
        <w:t>SI hybride : datacenter principal DC1, datacenter secondaire DC2, Azure West Europe, quelques SaaS.</w:t>
      </w:r>
    </w:p>
    <w:p>
      <w:pPr>
        <w:pStyle w:val="ListBullet"/>
      </w:pPr>
      <w:r>
        <w:t>Equipe IT repartie entre Digital Commerce, Infrastructure, Identity, DBA, Network Security et Cyber Resilience.</w:t>
      </w:r>
    </w:p>
    <w:p>
      <w:pPr>
        <w:pStyle w:val="Heading1"/>
      </w:pPr>
      <w:r>
        <w:t>Processus metiers critiques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303"/>
        <w:gridCol w:w="1303"/>
        <w:gridCol w:w="1303"/>
        <w:gridCol w:w="1303"/>
        <w:gridCol w:w="1303"/>
        <w:gridCol w:w="1303"/>
        <w:gridCol w:w="1303"/>
        <w:gridCol w:w="1303"/>
      </w:tblGrid>
      <w:tr>
        <w:tc>
          <w:tcPr>
            <w:tcW w:type="dxa" w:w="1303"/>
            <w:shd w:fill="136F63"/>
            <w:vAlign w:val="center"/>
          </w:tcPr>
          <w:p>
            <w:r>
              <w:rPr>
                <w:b/>
                <w:color w:val="FFFFFF"/>
                <w:sz w:val="14"/>
              </w:rPr>
              <w:t>Process_ID</w:t>
            </w:r>
          </w:p>
        </w:tc>
        <w:tc>
          <w:tcPr>
            <w:tcW w:type="dxa" w:w="1303"/>
            <w:shd w:fill="136F63"/>
            <w:vAlign w:val="center"/>
          </w:tcPr>
          <w:p>
            <w:r>
              <w:rPr>
                <w:b/>
                <w:color w:val="FFFFFF"/>
                <w:sz w:val="14"/>
              </w:rPr>
              <w:t>Process_Name</w:t>
            </w:r>
          </w:p>
        </w:tc>
        <w:tc>
          <w:tcPr>
            <w:tcW w:type="dxa" w:w="1303"/>
            <w:shd w:fill="136F63"/>
            <w:vAlign w:val="center"/>
          </w:tcPr>
          <w:p>
            <w:r>
              <w:rPr>
                <w:b/>
                <w:color w:val="FFFFFF"/>
                <w:sz w:val="14"/>
              </w:rPr>
              <w:t>Criticality</w:t>
            </w:r>
          </w:p>
        </w:tc>
        <w:tc>
          <w:tcPr>
            <w:tcW w:type="dxa" w:w="1303"/>
            <w:shd w:fill="136F63"/>
            <w:vAlign w:val="center"/>
          </w:tcPr>
          <w:p>
            <w:r>
              <w:rPr>
                <w:b/>
                <w:color w:val="FFFFFF"/>
                <w:sz w:val="14"/>
              </w:rPr>
              <w:t>RTO</w:t>
            </w:r>
          </w:p>
        </w:tc>
        <w:tc>
          <w:tcPr>
            <w:tcW w:type="dxa" w:w="1303"/>
            <w:shd w:fill="136F63"/>
            <w:vAlign w:val="center"/>
          </w:tcPr>
          <w:p>
            <w:r>
              <w:rPr>
                <w:b/>
                <w:color w:val="FFFFFF"/>
                <w:sz w:val="14"/>
              </w:rPr>
              <w:t>RPO</w:t>
            </w:r>
          </w:p>
        </w:tc>
        <w:tc>
          <w:tcPr>
            <w:tcW w:type="dxa" w:w="1303"/>
            <w:shd w:fill="136F63"/>
            <w:vAlign w:val="center"/>
          </w:tcPr>
          <w:p>
            <w:r>
              <w:rPr>
                <w:b/>
                <w:color w:val="FFFFFF"/>
                <w:sz w:val="14"/>
              </w:rPr>
              <w:t>Business_Owner</w:t>
            </w:r>
          </w:p>
        </w:tc>
        <w:tc>
          <w:tcPr>
            <w:tcW w:type="dxa" w:w="1303"/>
            <w:shd w:fill="136F63"/>
            <w:vAlign w:val="center"/>
          </w:tcPr>
          <w:p>
            <w:r>
              <w:rPr>
                <w:b/>
                <w:color w:val="FFFFFF"/>
                <w:sz w:val="14"/>
              </w:rPr>
              <w:t>Customer_Impact</w:t>
            </w:r>
          </w:p>
        </w:tc>
        <w:tc>
          <w:tcPr>
            <w:tcW w:type="dxa" w:w="1303"/>
            <w:shd w:fill="136F63"/>
            <w:vAlign w:val="center"/>
          </w:tcPr>
          <w:p>
            <w:r>
              <w:rPr>
                <w:b/>
                <w:color w:val="FFFFFF"/>
                <w:sz w:val="14"/>
              </w:rPr>
              <w:t>BIA_Status</w:t>
            </w:r>
          </w:p>
        </w:tc>
      </w:tr>
      <w:tr>
        <w:tc>
          <w:tcPr>
            <w:tcW w:type="dxa" w:w="1303"/>
            <w:vAlign w:val="top"/>
          </w:tcPr>
          <w:p>
            <w:r>
              <w:rPr>
                <w:sz w:val="14"/>
              </w:rPr>
              <w:t>P01</w:t>
            </w:r>
          </w:p>
        </w:tc>
        <w:tc>
          <w:tcPr>
            <w:tcW w:type="dxa" w:w="1303"/>
            <w:vAlign w:val="top"/>
          </w:tcPr>
          <w:p>
            <w:r>
              <w:rPr>
                <w:sz w:val="14"/>
              </w:rPr>
              <w:t>Gestion des commandes e-commerce</w:t>
            </w:r>
          </w:p>
        </w:tc>
        <w:tc>
          <w:tcPr>
            <w:tcW w:type="dxa" w:w="1303"/>
            <w:vAlign w:val="top"/>
          </w:tcPr>
          <w:p>
            <w:r>
              <w:rPr>
                <w:sz w:val="14"/>
              </w:rPr>
              <w:t>Critique</w:t>
            </w:r>
          </w:p>
        </w:tc>
        <w:tc>
          <w:tcPr>
            <w:tcW w:type="dxa" w:w="1303"/>
            <w:vAlign w:val="top"/>
          </w:tcPr>
          <w:p>
            <w:r>
              <w:rPr>
                <w:sz w:val="14"/>
              </w:rPr>
              <w:t>4h</w:t>
            </w:r>
          </w:p>
        </w:tc>
        <w:tc>
          <w:tcPr>
            <w:tcW w:type="dxa" w:w="1303"/>
            <w:vAlign w:val="top"/>
          </w:tcPr>
          <w:p>
            <w:r>
              <w:rPr>
                <w:sz w:val="14"/>
              </w:rPr>
              <w:t>15m</w:t>
            </w:r>
          </w:p>
        </w:tc>
        <w:tc>
          <w:tcPr>
            <w:tcW w:type="dxa" w:w="1303"/>
            <w:vAlign w:val="top"/>
          </w:tcPr>
          <w:p>
            <w:r>
              <w:rPr>
                <w:sz w:val="14"/>
              </w:rPr>
              <w:t>Directrice Digital Commerce</w:t>
            </w:r>
          </w:p>
        </w:tc>
        <w:tc>
          <w:tcPr>
            <w:tcW w:type="dxa" w:w="1303"/>
            <w:vAlign w:val="top"/>
          </w:tcPr>
          <w:p>
            <w:r>
              <w:rPr>
                <w:sz w:val="14"/>
              </w:rPr>
              <w:t>Commandes impossibles, pertes de CA, impact image</w:t>
            </w:r>
          </w:p>
        </w:tc>
        <w:tc>
          <w:tcPr>
            <w:tcW w:type="dxa" w:w="1303"/>
            <w:vAlign w:val="top"/>
          </w:tcPr>
          <w:p>
            <w:r>
              <w:rPr>
                <w:sz w:val="14"/>
              </w:rPr>
              <w:t>Valide 2026, mais dependances incompletes</w:t>
            </w:r>
          </w:p>
        </w:tc>
      </w:tr>
      <w:tr>
        <w:tc>
          <w:tcPr>
            <w:tcW w:type="dxa" w:w="1303"/>
            <w:vAlign w:val="top"/>
          </w:tcPr>
          <w:p>
            <w:r>
              <w:rPr>
                <w:sz w:val="14"/>
              </w:rPr>
              <w:t>P02</w:t>
            </w:r>
          </w:p>
        </w:tc>
        <w:tc>
          <w:tcPr>
            <w:tcW w:type="dxa" w:w="1303"/>
            <w:vAlign w:val="top"/>
          </w:tcPr>
          <w:p>
            <w:r>
              <w:rPr>
                <w:sz w:val="14"/>
              </w:rPr>
              <w:t>Encaissement magasins</w:t>
            </w:r>
          </w:p>
        </w:tc>
        <w:tc>
          <w:tcPr>
            <w:tcW w:type="dxa" w:w="1303"/>
            <w:vAlign w:val="top"/>
          </w:tcPr>
          <w:p>
            <w:r>
              <w:rPr>
                <w:sz w:val="14"/>
              </w:rPr>
              <w:t>Haute</w:t>
            </w:r>
          </w:p>
        </w:tc>
        <w:tc>
          <w:tcPr>
            <w:tcW w:type="dxa" w:w="1303"/>
            <w:vAlign w:val="top"/>
          </w:tcPr>
          <w:p>
            <w:r>
              <w:rPr>
                <w:sz w:val="14"/>
              </w:rPr>
              <w:t>6h</w:t>
            </w:r>
          </w:p>
        </w:tc>
        <w:tc>
          <w:tcPr>
            <w:tcW w:type="dxa" w:w="1303"/>
            <w:vAlign w:val="top"/>
          </w:tcPr>
          <w:p>
            <w:r>
              <w:rPr>
                <w:sz w:val="14"/>
              </w:rPr>
              <w:t>30m</w:t>
            </w:r>
          </w:p>
        </w:tc>
        <w:tc>
          <w:tcPr>
            <w:tcW w:type="dxa" w:w="1303"/>
            <w:vAlign w:val="top"/>
          </w:tcPr>
          <w:p>
            <w:r>
              <w:rPr>
                <w:sz w:val="14"/>
              </w:rPr>
              <w:t>Directeur Operations Retail</w:t>
            </w:r>
          </w:p>
        </w:tc>
        <w:tc>
          <w:tcPr>
            <w:tcW w:type="dxa" w:w="1303"/>
            <w:vAlign w:val="top"/>
          </w:tcPr>
          <w:p>
            <w:r>
              <w:rPr>
                <w:sz w:val="14"/>
              </w:rPr>
              <w:t>Passage caisse degrade ou impossible en magasin</w:t>
            </w:r>
          </w:p>
        </w:tc>
        <w:tc>
          <w:tcPr>
            <w:tcW w:type="dxa" w:w="1303"/>
            <w:vAlign w:val="top"/>
          </w:tcPr>
          <w:p>
            <w:r>
              <w:rPr>
                <w:sz w:val="14"/>
              </w:rPr>
              <w:t>Valide 2026</w:t>
            </w:r>
          </w:p>
        </w:tc>
      </w:tr>
      <w:tr>
        <w:tc>
          <w:tcPr>
            <w:tcW w:type="dxa" w:w="1303"/>
            <w:vAlign w:val="top"/>
          </w:tcPr>
          <w:p>
            <w:r>
              <w:rPr>
                <w:sz w:val="14"/>
              </w:rPr>
              <w:t>P03</w:t>
            </w:r>
          </w:p>
        </w:tc>
        <w:tc>
          <w:tcPr>
            <w:tcW w:type="dxa" w:w="1303"/>
            <w:vAlign w:val="top"/>
          </w:tcPr>
          <w:p>
            <w:r>
              <w:rPr>
                <w:sz w:val="14"/>
              </w:rPr>
              <w:t>Preparation commandes entrepot</w:t>
            </w:r>
          </w:p>
        </w:tc>
        <w:tc>
          <w:tcPr>
            <w:tcW w:type="dxa" w:w="1303"/>
            <w:vAlign w:val="top"/>
          </w:tcPr>
          <w:p>
            <w:r>
              <w:rPr>
                <w:sz w:val="14"/>
              </w:rPr>
              <w:t>Haute</w:t>
            </w:r>
          </w:p>
        </w:tc>
        <w:tc>
          <w:tcPr>
            <w:tcW w:type="dxa" w:w="1303"/>
            <w:vAlign w:val="top"/>
          </w:tcPr>
          <w:p>
            <w:r>
              <w:rPr>
                <w:sz w:val="14"/>
              </w:rPr>
              <w:t>8h</w:t>
            </w:r>
          </w:p>
        </w:tc>
        <w:tc>
          <w:tcPr>
            <w:tcW w:type="dxa" w:w="1303"/>
            <w:vAlign w:val="top"/>
          </w:tcPr>
          <w:p>
            <w:r>
              <w:rPr>
                <w:sz w:val="14"/>
              </w:rPr>
              <w:t>1h</w:t>
            </w:r>
          </w:p>
        </w:tc>
        <w:tc>
          <w:tcPr>
            <w:tcW w:type="dxa" w:w="1303"/>
            <w:vAlign w:val="top"/>
          </w:tcPr>
          <w:p>
            <w:r>
              <w:rPr>
                <w:sz w:val="14"/>
              </w:rPr>
              <w:t>Directrice Supply Chain</w:t>
            </w:r>
          </w:p>
        </w:tc>
        <w:tc>
          <w:tcPr>
            <w:tcW w:type="dxa" w:w="1303"/>
            <w:vAlign w:val="top"/>
          </w:tcPr>
          <w:p>
            <w:r>
              <w:rPr>
                <w:sz w:val="14"/>
              </w:rPr>
              <w:t>Retards expeditions, commandes bloquees</w:t>
            </w:r>
          </w:p>
        </w:tc>
        <w:tc>
          <w:tcPr>
            <w:tcW w:type="dxa" w:w="1303"/>
            <w:vAlign w:val="top"/>
          </w:tcPr>
          <w:p>
            <w:r>
              <w:rPr>
                <w:sz w:val="14"/>
              </w:rPr>
              <w:t>Valide 2026</w:t>
            </w:r>
          </w:p>
        </w:tc>
      </w:tr>
      <w:tr>
        <w:tc>
          <w:tcPr>
            <w:tcW w:type="dxa" w:w="1303"/>
            <w:vAlign w:val="top"/>
          </w:tcPr>
          <w:p>
            <w:r>
              <w:rPr>
                <w:sz w:val="14"/>
              </w:rPr>
              <w:t>P04</w:t>
            </w:r>
          </w:p>
        </w:tc>
        <w:tc>
          <w:tcPr>
            <w:tcW w:type="dxa" w:w="1303"/>
            <w:vAlign w:val="top"/>
          </w:tcPr>
          <w:p>
            <w:r>
              <w:rPr>
                <w:sz w:val="14"/>
              </w:rPr>
              <w:t>Service client et retours</w:t>
            </w:r>
          </w:p>
        </w:tc>
        <w:tc>
          <w:tcPr>
            <w:tcW w:type="dxa" w:w="1303"/>
            <w:vAlign w:val="top"/>
          </w:tcPr>
          <w:p>
            <w:r>
              <w:rPr>
                <w:sz w:val="14"/>
              </w:rPr>
              <w:t>Moyenne</w:t>
            </w:r>
          </w:p>
        </w:tc>
        <w:tc>
          <w:tcPr>
            <w:tcW w:type="dxa" w:w="1303"/>
            <w:vAlign w:val="top"/>
          </w:tcPr>
          <w:p>
            <w:r>
              <w:rPr>
                <w:sz w:val="14"/>
              </w:rPr>
              <w:t>24h</w:t>
            </w:r>
          </w:p>
        </w:tc>
        <w:tc>
          <w:tcPr>
            <w:tcW w:type="dxa" w:w="1303"/>
            <w:vAlign w:val="top"/>
          </w:tcPr>
          <w:p>
            <w:r>
              <w:rPr>
                <w:sz w:val="14"/>
              </w:rPr>
              <w:t>4h</w:t>
            </w:r>
          </w:p>
        </w:tc>
        <w:tc>
          <w:tcPr>
            <w:tcW w:type="dxa" w:w="1303"/>
            <w:vAlign w:val="top"/>
          </w:tcPr>
          <w:p>
            <w:r>
              <w:rPr>
                <w:sz w:val="14"/>
              </w:rPr>
              <w:t>Directeur Experience Client</w:t>
            </w:r>
          </w:p>
        </w:tc>
        <w:tc>
          <w:tcPr>
            <w:tcW w:type="dxa" w:w="1303"/>
            <w:vAlign w:val="top"/>
          </w:tcPr>
          <w:p>
            <w:r>
              <w:rPr>
                <w:sz w:val="14"/>
              </w:rPr>
              <w:t>Retards traitement reclamations et retours</w:t>
            </w:r>
          </w:p>
        </w:tc>
        <w:tc>
          <w:tcPr>
            <w:tcW w:type="dxa" w:w="1303"/>
            <w:vAlign w:val="top"/>
          </w:tcPr>
          <w:p>
            <w:r>
              <w:rPr>
                <w:sz w:val="14"/>
              </w:rPr>
              <w:t>Valide 2026</w:t>
            </w:r>
          </w:p>
        </w:tc>
      </w:tr>
      <w:tr>
        <w:tc>
          <w:tcPr>
            <w:tcW w:type="dxa" w:w="1303"/>
            <w:vAlign w:val="top"/>
          </w:tcPr>
          <w:p>
            <w:r>
              <w:rPr>
                <w:sz w:val="14"/>
              </w:rPr>
              <w:t>P05</w:t>
            </w:r>
          </w:p>
        </w:tc>
        <w:tc>
          <w:tcPr>
            <w:tcW w:type="dxa" w:w="1303"/>
            <w:vAlign w:val="top"/>
          </w:tcPr>
          <w:p>
            <w:r>
              <w:rPr>
                <w:sz w:val="14"/>
              </w:rPr>
              <w:t>Reporting finance mensuel</w:t>
            </w:r>
          </w:p>
        </w:tc>
        <w:tc>
          <w:tcPr>
            <w:tcW w:type="dxa" w:w="1303"/>
            <w:vAlign w:val="top"/>
          </w:tcPr>
          <w:p>
            <w:r>
              <w:rPr>
                <w:sz w:val="14"/>
              </w:rPr>
              <w:t>Moyenne</w:t>
            </w:r>
          </w:p>
        </w:tc>
        <w:tc>
          <w:tcPr>
            <w:tcW w:type="dxa" w:w="1303"/>
            <w:vAlign w:val="top"/>
          </w:tcPr>
          <w:p>
            <w:r>
              <w:rPr>
                <w:sz w:val="14"/>
              </w:rPr>
              <w:t>72h</w:t>
            </w:r>
          </w:p>
        </w:tc>
        <w:tc>
          <w:tcPr>
            <w:tcW w:type="dxa" w:w="1303"/>
            <w:vAlign w:val="top"/>
          </w:tcPr>
          <w:p>
            <w:r>
              <w:rPr>
                <w:sz w:val="14"/>
              </w:rPr>
              <w:t>24h</w:t>
            </w:r>
          </w:p>
        </w:tc>
        <w:tc>
          <w:tcPr>
            <w:tcW w:type="dxa" w:w="1303"/>
            <w:vAlign w:val="top"/>
          </w:tcPr>
          <w:p>
            <w:r>
              <w:rPr>
                <w:sz w:val="14"/>
              </w:rPr>
              <w:t>DAF</w:t>
            </w:r>
          </w:p>
        </w:tc>
        <w:tc>
          <w:tcPr>
            <w:tcW w:type="dxa" w:w="1303"/>
            <w:vAlign w:val="top"/>
          </w:tcPr>
          <w:p>
            <w:r>
              <w:rPr>
                <w:sz w:val="14"/>
              </w:rPr>
              <w:t>Faible impact client direct, risque reporting et controle interne</w:t>
            </w:r>
          </w:p>
        </w:tc>
        <w:tc>
          <w:tcPr>
            <w:tcW w:type="dxa" w:w="1303"/>
            <w:vAlign w:val="top"/>
          </w:tcPr>
          <w:p>
            <w:r>
              <w:rPr>
                <w:sz w:val="14"/>
              </w:rPr>
              <w:t>BIA 2025, a revoir</w:t>
            </w:r>
          </w:p>
        </w:tc>
      </w:tr>
      <w:tr>
        <w:tc>
          <w:tcPr>
            <w:tcW w:type="dxa" w:w="1303"/>
            <w:vAlign w:val="top"/>
          </w:tcPr>
          <w:p>
            <w:r>
              <w:rPr>
                <w:sz w:val="14"/>
              </w:rPr>
              <w:t>P06</w:t>
            </w:r>
          </w:p>
        </w:tc>
        <w:tc>
          <w:tcPr>
            <w:tcW w:type="dxa" w:w="1303"/>
            <w:vAlign w:val="top"/>
          </w:tcPr>
          <w:p>
            <w:r>
              <w:rPr>
                <w:sz w:val="14"/>
              </w:rPr>
              <w:t>Publication catalogue produits</w:t>
            </w:r>
          </w:p>
        </w:tc>
        <w:tc>
          <w:tcPr>
            <w:tcW w:type="dxa" w:w="1303"/>
            <w:vAlign w:val="top"/>
          </w:tcPr>
          <w:p>
            <w:r>
              <w:rPr>
                <w:sz w:val="14"/>
              </w:rPr>
              <w:t>Moyenne</w:t>
            </w:r>
          </w:p>
        </w:tc>
        <w:tc>
          <w:tcPr>
            <w:tcW w:type="dxa" w:w="1303"/>
            <w:vAlign w:val="top"/>
          </w:tcPr>
          <w:p>
            <w:r>
              <w:rPr>
                <w:sz w:val="14"/>
              </w:rPr>
              <w:t>24h</w:t>
            </w:r>
          </w:p>
        </w:tc>
        <w:tc>
          <w:tcPr>
            <w:tcW w:type="dxa" w:w="1303"/>
            <w:vAlign w:val="top"/>
          </w:tcPr>
          <w:p>
            <w:r>
              <w:rPr>
                <w:sz w:val="14"/>
              </w:rPr>
              <w:t>4h</w:t>
            </w:r>
          </w:p>
        </w:tc>
        <w:tc>
          <w:tcPr>
            <w:tcW w:type="dxa" w:w="1303"/>
            <w:vAlign w:val="top"/>
          </w:tcPr>
          <w:p>
            <w:r>
              <w:rPr>
                <w:sz w:val="14"/>
              </w:rPr>
              <w:t>Directeur Offre</w:t>
            </w:r>
          </w:p>
        </w:tc>
        <w:tc>
          <w:tcPr>
            <w:tcW w:type="dxa" w:w="1303"/>
            <w:vAlign w:val="top"/>
          </w:tcPr>
          <w:p>
            <w:r>
              <w:rPr>
                <w:sz w:val="14"/>
              </w:rPr>
              <w:t>Catalogue non mis a jour, prix/promos obsoletes</w:t>
            </w:r>
          </w:p>
        </w:tc>
        <w:tc>
          <w:tcPr>
            <w:tcW w:type="dxa" w:w="1303"/>
            <w:vAlign w:val="top"/>
          </w:tcPr>
          <w:p>
            <w:r>
              <w:rPr>
                <w:sz w:val="14"/>
              </w:rPr>
              <w:t>Valide 2026</w:t>
            </w:r>
          </w:p>
        </w:tc>
      </w:tr>
    </w:tbl>
    <w:p/>
    <w:p>
      <w:pPr>
        <w:pStyle w:val="Heading1"/>
      </w:pPr>
      <w:r>
        <w:t>Contexte cyber-resilience</w:t>
      </w:r>
    </w:p>
    <w:p>
      <w:pPr>
        <w:pStyle w:val="ListBullet"/>
      </w:pPr>
      <w:r>
        <w:t>Le client a produit plusieurs BIA, mais la qualite des dependances varie fortement.</w:t>
      </w:r>
    </w:p>
    <w:p>
      <w:pPr>
        <w:pStyle w:val="ListBullet"/>
      </w:pPr>
      <w:r>
        <w:t>La CMDB est maintenue manuellement et contient des champs obsoletes.</w:t>
      </w:r>
    </w:p>
    <w:p>
      <w:pPr>
        <w:pStyle w:val="ListBullet"/>
      </w:pPr>
      <w:r>
        <w:t>Les runbooks PRA sont heterogenes selon les equipes.</w:t>
      </w:r>
    </w:p>
    <w:p>
      <w:pPr>
        <w:pStyle w:val="ListBullet"/>
      </w:pPr>
      <w:r>
        <w:t>Un cyber vault existe, mais tous les composants critiques n y sont pas presents.</w:t>
      </w:r>
    </w:p>
    <w:p>
      <w:pPr>
        <w:pStyle w:val="ListBullet"/>
      </w:pPr>
      <w:r>
        <w:t>Le COMEX veut une reponse simple : que faut-il reconstruire et dans quel ordre pour reprendre les commandes ?</w:t>
      </w:r>
    </w:p>
    <w:sectPr w:rsidR="00FC693F" w:rsidRPr="0006063C" w:rsidSect="00034616">
      <w:footerReference w:type="default" r:id="rId9"/>
      <w:pgSz w:w="12240" w:h="15840"/>
      <w:pgMar w:top="850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4"/>
      </w:rPr>
      <w:t>FICTIF - Cyber Resilience Hackathon Lab - NovaRetail Group - Ne pas utiliser comme document client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36F6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466B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466B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color w:val="136F63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Cyber Resilience Hackathon Lab</dc:subject>
  <dc:creator>Kyndryl Cyber Resilience - fictitious lab generated for hackathon</dc:creator>
  <cp:keywords>cyber resilience, BIA, CMDB, AI agent, GraphRAG, hackathon, fictitious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