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sz w:val="21"/>
          <w:szCs w:val="21"/>
        </w:rPr>
      </w:pPr>
      <w:r w:rsidDel="00000000" w:rsidR="00000000" w:rsidRPr="00000000">
        <w:rPr>
          <w:rtl w:val="0"/>
        </w:rPr>
      </w:r>
    </w:p>
    <w:p w:rsidR="00000000" w:rsidDel="00000000" w:rsidP="00000000" w:rsidRDefault="00000000" w:rsidRPr="00000000" w14:paraId="00000002">
      <w:pPr>
        <w:rPr>
          <w:rFonts w:ascii="Poppins" w:cs="Poppins" w:eastAsia="Poppins" w:hAnsi="Poppins"/>
          <w:smallCaps w:val="1"/>
          <w:color w:val="141414"/>
          <w:sz w:val="17"/>
          <w:szCs w:val="17"/>
        </w:rPr>
      </w:pPr>
      <w:r w:rsidDel="00000000" w:rsidR="00000000" w:rsidRPr="00000000">
        <w:rPr>
          <w:rtl w:val="0"/>
        </w:rPr>
      </w:r>
    </w:p>
    <w:p w:rsidR="00000000" w:rsidDel="00000000" w:rsidP="00000000" w:rsidRDefault="00000000" w:rsidRPr="00000000" w14:paraId="00000003">
      <w:pPr>
        <w:rPr>
          <w:rFonts w:ascii="Poppins" w:cs="Poppins" w:eastAsia="Poppins" w:hAnsi="Poppins"/>
          <w:smallCaps w:val="1"/>
          <w:color w:val="141414"/>
          <w:sz w:val="17"/>
          <w:szCs w:val="17"/>
        </w:rPr>
      </w:pPr>
      <w:r w:rsidDel="00000000" w:rsidR="00000000" w:rsidRPr="00000000">
        <w:rPr>
          <w:rFonts w:ascii="Poppins" w:cs="Poppins" w:eastAsia="Poppins" w:hAnsi="Poppins"/>
          <w:smallCaps w:val="1"/>
          <w:color w:val="141414"/>
          <w:sz w:val="17"/>
          <w:szCs w:val="17"/>
          <w:rtl w:val="0"/>
        </w:rPr>
        <w:t xml:space="preserve">GROUPE FORVIA · ANALYSE IA DES ATTESTATIONS D'ASSURANCE RC FOURNISSEURS</w:t>
      </w:r>
    </w:p>
    <w:p w:rsidR="00000000" w:rsidDel="00000000" w:rsidP="00000000" w:rsidRDefault="00000000" w:rsidRPr="00000000" w14:paraId="00000004">
      <w:pPr>
        <w:pStyle w:val="Title"/>
        <w:rPr/>
      </w:pPr>
      <w:bookmarkStart w:colFirst="0" w:colLast="0" w:name="_4xy3j1vtrq99" w:id="0"/>
      <w:bookmarkEnd w:id="0"/>
      <w:r w:rsidDel="00000000" w:rsidR="00000000" w:rsidRPr="00000000">
        <w:rPr>
          <w:rtl w:val="0"/>
        </w:rPr>
        <w:t xml:space="preserve">Dossier technique</w:t>
      </w:r>
    </w:p>
    <w:p w:rsidR="00000000" w:rsidDel="00000000" w:rsidP="00000000" w:rsidRDefault="00000000" w:rsidRPr="00000000" w14:paraId="00000005">
      <w:pPr>
        <w:spacing w:after="150" w:lineRule="auto"/>
        <w:rPr>
          <w:rFonts w:ascii="Poppins" w:cs="Poppins" w:eastAsia="Poppins" w:hAnsi="Poppins"/>
          <w:color w:val="777777"/>
          <w:sz w:val="21"/>
          <w:szCs w:val="21"/>
        </w:rPr>
      </w:pPr>
      <w:r w:rsidDel="00000000" w:rsidR="00000000" w:rsidRPr="00000000">
        <w:rPr>
          <w:rFonts w:ascii="Poppins" w:cs="Poppins" w:eastAsia="Poppins" w:hAnsi="Poppins"/>
          <w:color w:val="777777"/>
          <w:sz w:val="21"/>
          <w:szCs w:val="21"/>
          <w:rtl w:val="0"/>
        </w:rPr>
        <w:t xml:space="preserve">Annexe technique à la proposition commerciale : conception du moteur de scoring, intégration avec SAP Ariba, choix du moteur d'IA et engagements sur les exigences du cahier des charges.</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oppins" w:cs="Poppins" w:eastAsia="Poppins" w:hAnsi="Poppins"/>
          <w:b w:val="1"/>
          <w:bCs w:val="1"/>
          <w:i w:val="0"/>
          <w:iCs w:val="0"/>
          <w:smallCaps w:val="0"/>
          <w:strike w:val="0"/>
          <w:color w:val="0f4761"/>
          <w:sz w:val="28"/>
          <w:szCs w:val="28"/>
          <w:u w:val="none"/>
          <w:shd w:fill="auto" w:val="clear"/>
          <w:vertAlign w:val="baseline"/>
        </w:rPr>
      </w:pPr>
      <w:r w:rsidDel="00000000" w:rsidR="00000000" w:rsidRPr="00000000">
        <w:rPr>
          <w:rFonts w:ascii="Poppins" w:cs="Poppins" w:eastAsia="Poppins" w:hAnsi="Poppins"/>
          <w:b w:val="1"/>
          <w:bCs w:val="1"/>
          <w:i w:val="0"/>
          <w:iCs w:val="0"/>
          <w:smallCaps w:val="0"/>
          <w:strike w:val="0"/>
          <w:color w:val="0f4761"/>
          <w:sz w:val="28"/>
          <w:szCs w:val="28"/>
          <w:u w:val="none"/>
          <w:shd w:fill="auto" w:val="clear"/>
          <w:vertAlign w:val="baseline"/>
          <w:rtl w:val="0"/>
        </w:rPr>
        <w:t xml:space="preserve">Table des matières</w:t>
      </w:r>
    </w:p>
    <w:sdt>
      <w:sdtPr>
        <w:id w:val="771346834"/>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Moteur de scoring - approche configurable</w:t>
              <w:br w:type="textWrapping"/>
              <w:t xml:space="preserve">Conception des deux scores et du référentiel de règles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h1t9ai3edq">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1.1 Trois principes de conception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azjbksot9">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a) Deux scores, deux questions distinctes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xjskp6azet">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b) L'exactitude conditionne le risque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spj65qah57">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c) Les règles sont des données, pas du code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Score d'exactitude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Score de risque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m86nsbp8j2">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1.4 Traitement des subtilités des attestations RC</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ix4dzyhbb">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1.5 Gouvernance du référentiel</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Paramétrage vs développement</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4dp0jxwed4">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Intégration avec SAP Ariba</w:t>
              <w:br w:type="textWrapping"/>
              <w:t xml:space="preserve">Architecture d'intégration et prérequis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qx65l47sfl">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2.1 Principe</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fzyk1ph2pq">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2.2 APIs utilisées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Robustesse des flux</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pgb4ounc8">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2.4 Prérequis côté Forvia</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75oty93ipx">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2.5 Points à confirmer ensemble</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1wq97ct7c">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Moteur d'IA et hébergement souverain</w:t>
              <w:br w:type="textWrapping"/>
              <w:t xml:space="preserve">Options de modèles et scénarios d'hébergement</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yz1ipvlyei">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3.1 Notre lecture de vos exigences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xny5u6r5pw">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3.2 Modèles retenus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0ieeelbewy">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3.3 Hébergement en France</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Engagements sur les exigences du cahier des charges</w:t>
              <w:br w:type="textWrapping"/>
              <w:t xml:space="preserve">Capacités d'analyse documentaire, performance et sécurité</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tiay9fufa4">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4.1 Capacités d'analyse documentaire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x1i0iglr3n">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4.2 Exigences de performance</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kzspfx04lh">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4.3 Exigences de sécurité</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dve7gl7swy">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Conformité totale au RGPD</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3rb3t06c3">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Chiffrement des données en transit et au repos</w:t>
              <w:br w:type="textWrapping"/>
              <w:t xml:space="preserve">Les attestations d'assurance contiennent des informations contractuelles sensibles sur les fournisseurs de Forvia. La solution applique un chiffrement systématique sur l'ensemble du parcours de la donnée, du dépôt dans SAP Ariba jusqu'à l'archivage des résultats d'analyse.</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3rb3t06c3">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 En transit : chiffrement TLS 1.3 sur tous les flux d’échanges avec SAP Ariba, appels au moteur d'IA, accès au portail. Aucune connexion non chiffrée n'est acceptée.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3rb3t06c3">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 Au repos : chiffrement AES-256 des attestations, des données extraites et des résultats de scoring, appliqué au stockage comme à la base de données et aux sauvegardes.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3rb3t06c3">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 Secrets et clés : clés d'API et identifiants gérés dans un coffre-fort dédié, jamais stockés dans le code applicatif.</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3rb3t06c3">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 Rétention : suppression des documents originaux à l'issue d'une durée de conservation définie avec Forvia.</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jn5zjdwv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Résidence des données : traitement et stockage dans une région européenne, sans conservation des documents par le fournisseur d'inférence au-delà du traitement.</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kpc07gi204">
            <w:r w:rsidDel="00000000" w:rsidR="00000000" w:rsidRPr="00000000">
              <w:rPr>
                <w:rFonts w:ascii="Poppins" w:cs="Poppins" w:eastAsia="Poppins" w:hAnsi="Poppins"/>
                <w:b w:val="0"/>
                <w:bCs w:val="0"/>
                <w:i w:val="0"/>
                <w:iCs w:val="0"/>
                <w:smallCaps w:val="0"/>
                <w:strike w:val="0"/>
                <w:color w:val="000000"/>
                <w:sz w:val="18"/>
                <w:szCs w:val="18"/>
                <w:u w:val="none"/>
                <w:shd w:fill="auto" w:val="clear"/>
                <w:vertAlign w:val="baseline"/>
                <w:rtl w:val="0"/>
              </w:rPr>
              <w:t xml:space="preserve">Accès restreint aux seuls utilisateurs autorisés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150" w:lineRule="auto"/>
        <w:rPr>
          <w:rFonts w:ascii="Poppins" w:cs="Poppins" w:eastAsia="Poppins" w:hAnsi="Poppins"/>
          <w:color w:val="777777"/>
          <w:sz w:val="21"/>
          <w:szCs w:val="21"/>
        </w:rPr>
      </w:pPr>
      <w:r w:rsidDel="00000000" w:rsidR="00000000" w:rsidRPr="00000000">
        <w:rPr>
          <w:rtl w:val="0"/>
        </w:rPr>
      </w:r>
    </w:p>
    <w:p w:rsidR="00000000" w:rsidDel="00000000" w:rsidP="00000000" w:rsidRDefault="00000000" w:rsidRPr="00000000" w14:paraId="00000028">
      <w:pPr>
        <w:rPr>
          <w:rFonts w:ascii="Poppins" w:cs="Poppins" w:eastAsia="Poppins" w:hAnsi="Poppins"/>
          <w:b w:val="1"/>
          <w:bCs w:val="1"/>
          <w:color w:val="141414"/>
          <w:sz w:val="41"/>
          <w:szCs w:val="41"/>
        </w:rPr>
      </w:pPr>
      <w:bookmarkStart w:colFirst="0" w:colLast="0" w:name="_kkewn846gv68"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b w:val="0"/>
          <w:bCs w:val="0"/>
          <w:color w:val="777777"/>
          <w:sz w:val="20"/>
          <w:szCs w:val="20"/>
        </w:rPr>
      </w:pPr>
      <w:r w:rsidDel="00000000" w:rsidR="00000000" w:rsidRPr="00000000">
        <w:rPr>
          <w:sz w:val="41"/>
          <w:szCs w:val="41"/>
          <w:rtl w:val="0"/>
        </w:rPr>
        <w:t xml:space="preserve">Moteur de scoring - approche configurable</w:t>
        <w:br w:type="textWrapping"/>
      </w:r>
      <w:r w:rsidDel="00000000" w:rsidR="00000000" w:rsidRPr="00000000">
        <w:rPr>
          <w:color w:val="777777"/>
          <w:sz w:val="20"/>
          <w:szCs w:val="20"/>
          <w:rtl w:val="0"/>
        </w:rPr>
        <w:t xml:space="preserve">Conception des deux scores et du référentiel de règles</w:t>
      </w:r>
      <w:r w:rsidDel="00000000" w:rsidR="00000000" w:rsidRPr="00000000">
        <w:rPr>
          <w:rtl w:val="0"/>
        </w:rPr>
      </w:r>
    </w:p>
    <w:p w:rsidR="00000000" w:rsidDel="00000000" w:rsidP="00000000" w:rsidRDefault="00000000" w:rsidRPr="00000000" w14:paraId="0000002A">
      <w:pPr>
        <w:pStyle w:val="Heading2"/>
        <w:rPr/>
      </w:pPr>
      <w:bookmarkStart w:colFirst="0" w:colLast="0" w:name="_voh1t9ai3edq" w:id="2"/>
      <w:bookmarkEnd w:id="2"/>
      <w:r w:rsidDel="00000000" w:rsidR="00000000" w:rsidRPr="00000000">
        <w:rPr>
          <w:rtl w:val="0"/>
        </w:rPr>
        <w:t xml:space="preserve">1.1 Trois principes de conception</w:t>
      </w:r>
    </w:p>
    <w:p w:rsidR="00000000" w:rsidDel="00000000" w:rsidP="00000000" w:rsidRDefault="00000000" w:rsidRPr="00000000" w14:paraId="0000002B">
      <w:pPr>
        <w:pStyle w:val="Heading3"/>
        <w:rPr/>
      </w:pPr>
      <w:bookmarkStart w:colFirst="0" w:colLast="0" w:name="_v6azjbksot9" w:id="3"/>
      <w:bookmarkEnd w:id="3"/>
      <w:r w:rsidDel="00000000" w:rsidR="00000000" w:rsidRPr="00000000">
        <w:rPr>
          <w:rtl w:val="0"/>
        </w:rPr>
        <w:t xml:space="preserve">a) Deux scores, deux questions distinctes</w:t>
      </w:r>
    </w:p>
    <w:p w:rsidR="00000000" w:rsidDel="00000000" w:rsidP="00000000" w:rsidRDefault="00000000" w:rsidRPr="00000000" w14:paraId="0000002C">
      <w:pPr>
        <w:numPr>
          <w:ilvl w:val="0"/>
          <w:numId w:val="2"/>
        </w:numPr>
        <w:spacing w:after="75" w:before="280" w:lineRule="auto"/>
        <w:ind w:left="720" w:hanging="360"/>
        <w:rPr>
          <w:color w:val="2b2b2b"/>
        </w:rPr>
      </w:pPr>
      <w:r w:rsidDel="00000000" w:rsidR="00000000" w:rsidRPr="00000000">
        <w:rPr>
          <w:rFonts w:ascii="Poppins" w:cs="Poppins" w:eastAsia="Poppins" w:hAnsi="Poppins"/>
          <w:color w:val="141414"/>
          <w:sz w:val="20"/>
          <w:szCs w:val="20"/>
          <w:rtl w:val="0"/>
        </w:rPr>
        <w:t xml:space="preserve">Score d'exactitude</w:t>
      </w:r>
      <w:r w:rsidDel="00000000" w:rsidR="00000000" w:rsidRPr="00000000">
        <w:rPr>
          <w:rFonts w:ascii="Poppins" w:cs="Poppins" w:eastAsia="Poppins" w:hAnsi="Poppins"/>
          <w:color w:val="2b2b2b"/>
          <w:sz w:val="20"/>
          <w:szCs w:val="20"/>
          <w:rtl w:val="0"/>
        </w:rPr>
        <w:t xml:space="preserve"> - </w:t>
      </w:r>
      <w:r w:rsidDel="00000000" w:rsidR="00000000" w:rsidRPr="00000000">
        <w:rPr>
          <w:rFonts w:ascii="Poppins" w:cs="Poppins" w:eastAsia="Poppins" w:hAnsi="Poppins"/>
          <w:i w:val="1"/>
          <w:iCs w:val="1"/>
          <w:color w:val="2b2b2b"/>
          <w:sz w:val="20"/>
          <w:szCs w:val="20"/>
          <w:rtl w:val="0"/>
        </w:rPr>
        <w:t xml:space="preserve">le document a-t-il été correctement lu ?</w:t>
      </w:r>
      <w:r w:rsidDel="00000000" w:rsidR="00000000" w:rsidRPr="00000000">
        <w:rPr>
          <w:rFonts w:ascii="Poppins" w:cs="Poppins" w:eastAsia="Poppins" w:hAnsi="Poppins"/>
          <w:color w:val="2b2b2b"/>
          <w:sz w:val="20"/>
          <w:szCs w:val="20"/>
          <w:rtl w:val="0"/>
        </w:rPr>
        <w:t xml:space="preserve"> Il mesure la qualité de l'extraction et relève de la responsabilité d'Arkan.</w:t>
      </w:r>
    </w:p>
    <w:p w:rsidR="00000000" w:rsidDel="00000000" w:rsidP="00000000" w:rsidRDefault="00000000" w:rsidRPr="00000000" w14:paraId="0000002D">
      <w:pPr>
        <w:numPr>
          <w:ilvl w:val="0"/>
          <w:numId w:val="2"/>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Score de risque</w:t>
      </w:r>
      <w:r w:rsidDel="00000000" w:rsidR="00000000" w:rsidRPr="00000000">
        <w:rPr>
          <w:rFonts w:ascii="Poppins" w:cs="Poppins" w:eastAsia="Poppins" w:hAnsi="Poppins"/>
          <w:color w:val="2b2b2b"/>
          <w:sz w:val="20"/>
          <w:szCs w:val="20"/>
          <w:rtl w:val="0"/>
        </w:rPr>
        <w:t xml:space="preserve"> - </w:t>
      </w:r>
      <w:r w:rsidDel="00000000" w:rsidR="00000000" w:rsidRPr="00000000">
        <w:rPr>
          <w:rFonts w:ascii="Poppins" w:cs="Poppins" w:eastAsia="Poppins" w:hAnsi="Poppins"/>
          <w:i w:val="1"/>
          <w:iCs w:val="1"/>
          <w:color w:val="2b2b2b"/>
          <w:sz w:val="20"/>
          <w:szCs w:val="20"/>
          <w:rtl w:val="0"/>
        </w:rPr>
        <w:t xml:space="preserve">le fournisseur est-il correctement assuré ?</w:t>
      </w:r>
      <w:r w:rsidDel="00000000" w:rsidR="00000000" w:rsidRPr="00000000">
        <w:rPr>
          <w:rFonts w:ascii="Poppins" w:cs="Poppins" w:eastAsia="Poppins" w:hAnsi="Poppins"/>
          <w:color w:val="2b2b2b"/>
          <w:sz w:val="20"/>
          <w:szCs w:val="20"/>
          <w:rtl w:val="0"/>
        </w:rPr>
        <w:t xml:space="preserve"> Il traduit les règles métier définies et pilotées par la Direction des Assurances Groupe.</w:t>
      </w:r>
    </w:p>
    <w:p w:rsidR="00000000" w:rsidDel="00000000" w:rsidP="00000000" w:rsidRDefault="00000000" w:rsidRPr="00000000" w14:paraId="0000002E">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Cette séparation garantit qu'une attestation parfaitement lisible d'un fournisseur sous-assuré</w:t>
      </w:r>
      <w:r w:rsidDel="00000000" w:rsidR="00000000" w:rsidRPr="00000000">
        <w:rPr>
          <w:rFonts w:ascii="Poppins" w:cs="Poppins" w:eastAsia="Poppins" w:hAnsi="Poppins"/>
          <w:color w:val="2b2b2b"/>
          <w:sz w:val="20"/>
          <w:szCs w:val="20"/>
          <w:rtl w:val="0"/>
        </w:rPr>
        <w:t xml:space="preserve"> </w:t>
      </w:r>
      <w:r w:rsidDel="00000000" w:rsidR="00000000" w:rsidRPr="00000000">
        <w:rPr>
          <w:rFonts w:ascii="Poppins" w:cs="Poppins" w:eastAsia="Poppins" w:hAnsi="Poppins"/>
          <w:color w:val="2b2b2b"/>
          <w:sz w:val="20"/>
          <w:szCs w:val="20"/>
          <w:rtl w:val="0"/>
        </w:rPr>
        <w:t xml:space="preserve">obtienne un score d'exactitude élevé et un score de risque dégradé, et inversement : on ne confond jamais un problème de lecture avec un problème de couverture</w:t>
      </w:r>
      <w:r w:rsidDel="00000000" w:rsidR="00000000" w:rsidRPr="00000000">
        <w:rPr>
          <w:rtl w:val="0"/>
        </w:rPr>
      </w:r>
    </w:p>
    <w:p w:rsidR="00000000" w:rsidDel="00000000" w:rsidP="00000000" w:rsidRDefault="00000000" w:rsidRPr="00000000" w14:paraId="0000002F">
      <w:pPr>
        <w:pStyle w:val="Heading3"/>
        <w:rPr/>
      </w:pPr>
      <w:bookmarkStart w:colFirst="0" w:colLast="0" w:name="_mqxjskp6azet" w:id="4"/>
      <w:bookmarkEnd w:id="4"/>
      <w:r w:rsidDel="00000000" w:rsidR="00000000" w:rsidRPr="00000000">
        <w:rPr>
          <w:rtl w:val="0"/>
        </w:rPr>
        <w:t xml:space="preserve">b) </w:t>
      </w:r>
      <w:r w:rsidDel="00000000" w:rsidR="00000000" w:rsidRPr="00000000">
        <w:rPr>
          <w:rtl w:val="0"/>
        </w:rPr>
        <w:t xml:space="preserve">L'exactitude conditionne le risque</w:t>
      </w:r>
      <w:r w:rsidDel="00000000" w:rsidR="00000000" w:rsidRPr="00000000">
        <w:rPr>
          <w:rtl w:val="0"/>
        </w:rPr>
      </w:r>
    </w:p>
    <w:p w:rsidR="00000000" w:rsidDel="00000000" w:rsidP="00000000" w:rsidRDefault="00000000" w:rsidRPr="00000000" w14:paraId="00000030">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En dessous d'un seuil d'exactitude paramétrable, la solution </w:t>
      </w:r>
      <w:r w:rsidDel="00000000" w:rsidR="00000000" w:rsidRPr="00000000">
        <w:rPr>
          <w:rFonts w:ascii="Poppins" w:cs="Poppins" w:eastAsia="Poppins" w:hAnsi="Poppins"/>
          <w:color w:val="141414"/>
          <w:sz w:val="20"/>
          <w:szCs w:val="20"/>
          <w:rtl w:val="0"/>
        </w:rPr>
        <w:t xml:space="preserve">ne publie aucun score de risque</w:t>
      </w:r>
      <w:r w:rsidDel="00000000" w:rsidR="00000000" w:rsidRPr="00000000">
        <w:rPr>
          <w:rFonts w:ascii="Poppins" w:cs="Poppins" w:eastAsia="Poppins" w:hAnsi="Poppins"/>
          <w:color w:val="2b2b2b"/>
          <w:sz w:val="20"/>
          <w:szCs w:val="20"/>
          <w:rtl w:val="0"/>
        </w:rPr>
        <w:t xml:space="preserve"> : l'attestation est orientée en file de revue humaine. Ce garde-fou réduit fortement les faux négatifs - un fournisseur ne peut pas être classé « conforme » sur la base d'une lecture incertaine, ce qui répond directement à l'enjeu de préservation de votre droit de recours.</w:t>
      </w:r>
    </w:p>
    <w:p w:rsidR="00000000" w:rsidDel="00000000" w:rsidP="00000000" w:rsidRDefault="00000000" w:rsidRPr="00000000" w14:paraId="00000031">
      <w:pPr>
        <w:pStyle w:val="Heading3"/>
        <w:rPr/>
      </w:pPr>
      <w:bookmarkStart w:colFirst="0" w:colLast="0" w:name="_vuspj65qah57" w:id="5"/>
      <w:bookmarkEnd w:id="5"/>
      <w:r w:rsidDel="00000000" w:rsidR="00000000" w:rsidRPr="00000000">
        <w:rPr>
          <w:rtl w:val="0"/>
        </w:rPr>
        <w:t xml:space="preserve">c) Les règles sont des données, pas du code</w:t>
      </w:r>
    </w:p>
    <w:p w:rsidR="00000000" w:rsidDel="00000000" w:rsidP="00000000" w:rsidRDefault="00000000" w:rsidRPr="00000000" w14:paraId="00000032">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Les seuils GPTC évolueront et les exigences pourront varier par catégorie d'achat ou par pays. Les règles sont donc portées par un </w:t>
      </w:r>
      <w:r w:rsidDel="00000000" w:rsidR="00000000" w:rsidRPr="00000000">
        <w:rPr>
          <w:rFonts w:ascii="Poppins" w:cs="Poppins" w:eastAsia="Poppins" w:hAnsi="Poppins"/>
          <w:color w:val="141414"/>
          <w:sz w:val="20"/>
          <w:szCs w:val="20"/>
          <w:rtl w:val="0"/>
        </w:rPr>
        <w:t xml:space="preserve">référentiel déclaratif, versionné et testable</w:t>
      </w:r>
      <w:r w:rsidDel="00000000" w:rsidR="00000000" w:rsidRPr="00000000">
        <w:rPr>
          <w:rFonts w:ascii="Poppins" w:cs="Poppins" w:eastAsia="Poppins" w:hAnsi="Poppins"/>
          <w:color w:val="2b2b2b"/>
          <w:sz w:val="20"/>
          <w:szCs w:val="20"/>
          <w:rtl w:val="0"/>
        </w:rPr>
        <w:t xml:space="preserve"> : chaque évolution est un paramétrage validé, pas un développement.</w:t>
      </w:r>
    </w:p>
    <w:p w:rsidR="00000000" w:rsidDel="00000000" w:rsidP="00000000" w:rsidRDefault="00000000" w:rsidRPr="00000000" w14:paraId="00000033">
      <w:pPr>
        <w:rPr>
          <w:rFonts w:ascii="Poppins" w:cs="Poppins" w:eastAsia="Poppins" w:hAnsi="Poppins"/>
          <w:b w:val="1"/>
          <w:bCs w:val="1"/>
          <w:color w:val="141414"/>
          <w:sz w:val="29"/>
          <w:szCs w:val="29"/>
        </w:rPr>
      </w:pPr>
      <w:bookmarkStart w:colFirst="0" w:colLast="0" w:name="_6d3v22ejfnqk" w:id="6"/>
      <w:bookmarkEnd w:id="6"/>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1.2 Score d'exactitude</w:t>
      </w:r>
    </w:p>
    <w:p w:rsidR="00000000" w:rsidDel="00000000" w:rsidP="00000000" w:rsidRDefault="00000000" w:rsidRPr="00000000" w14:paraId="00000035">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 score combine trois familles de signaux, pondérées et paramétrables :</w:t>
      </w:r>
    </w:p>
    <w:tbl>
      <w:tblPr>
        <w:tblStyle w:val="Table1"/>
        <w:tblW w:w="9072.0" w:type="dxa"/>
        <w:jc w:val="left"/>
        <w:tblLayout w:type="fixed"/>
        <w:tblLook w:val="0400"/>
      </w:tblPr>
      <w:tblGrid>
        <w:gridCol w:w="2194"/>
        <w:gridCol w:w="4685"/>
        <w:gridCol w:w="2193"/>
        <w:tblGridChange w:id="0">
          <w:tblGrid>
            <w:gridCol w:w="2194"/>
            <w:gridCol w:w="4685"/>
            <w:gridCol w:w="2193"/>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36">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Famille</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37">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Signaux</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38">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Nature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9">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Confiance déclarée</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A">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Confiance par champ retournée par le modèle d'extraction</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B">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Indicative, pondérée prudemment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C">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Vérifiabilité</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D">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Chaque champ extrait porte l'extrait de texte source et le numéro de page ; un champ sans ancrage n'est pas retenu</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E">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Déterministe - signal principal</w:t>
            </w:r>
            <w:r w:rsidDel="00000000" w:rsidR="00000000" w:rsidRPr="00000000">
              <w:rPr>
                <w:rtl w:val="0"/>
              </w:rPr>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3F">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Cohérence structurelle</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0">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Dates ordonnées, devise ISO 4217 valide, montants plausibles, fournisseur rapproché du master data Ariba, assureur identifié</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Déterministe</w:t>
            </w:r>
          </w:p>
        </w:tc>
      </w:tr>
    </w:tbl>
    <w:p w:rsidR="00000000" w:rsidDel="00000000" w:rsidP="00000000" w:rsidRDefault="00000000" w:rsidRPr="00000000" w14:paraId="00000042">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L'ancrage systématique rend chaque extraction auditable : dans l'interface de revue, chaque valeur est cliquable et renvoie à l'endroit exact du PDF d'où elle provient. C'est aussi ce qui rend la revue humaine rapide.</w:t>
      </w:r>
    </w:p>
    <w:p w:rsidR="00000000" w:rsidDel="00000000" w:rsidP="00000000" w:rsidRDefault="00000000" w:rsidRPr="00000000" w14:paraId="00000043">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Les poids par champ sont configurables - une erreur sur la limite RC produits ou la devise pèse davantage qu'une erreur sur une donnée secondaire. Sortie : un score 0-100, une bande (fiable / à vérifier / inutilisable) et, le cas échéant, la liste des champs en cause.</w:t>
      </w:r>
    </w:p>
    <w:p w:rsidR="00000000" w:rsidDel="00000000" w:rsidP="00000000" w:rsidRDefault="00000000" w:rsidRPr="00000000" w14:paraId="00000044">
      <w:pPr>
        <w:rPr>
          <w:rFonts w:ascii="Poppins" w:cs="Poppins" w:eastAsia="Poppins" w:hAnsi="Poppins"/>
          <w:b w:val="1"/>
          <w:bCs w:val="1"/>
          <w:color w:val="141414"/>
          <w:sz w:val="29"/>
          <w:szCs w:val="29"/>
        </w:rPr>
      </w:pPr>
      <w:bookmarkStart w:colFirst="0" w:colLast="0" w:name="_ve4tlyxyokfu" w:id="7"/>
      <w:bookmarkEnd w:id="7"/>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1.3 Score de risque</w:t>
      </w:r>
      <w:r w:rsidDel="00000000" w:rsidR="00000000" w:rsidRPr="00000000">
        <w:rPr>
          <w:rtl w:val="0"/>
        </w:rPr>
      </w:r>
    </w:p>
    <w:p w:rsidR="00000000" w:rsidDel="00000000" w:rsidP="00000000" w:rsidRDefault="00000000" w:rsidRPr="00000000" w14:paraId="00000046">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Cinq dimensions, toutes paramétrables par la Direction des Assurances sans développement :</w:t>
      </w:r>
    </w:p>
    <w:tbl>
      <w:tblPr>
        <w:tblStyle w:val="Table2"/>
        <w:tblW w:w="9072.0" w:type="dxa"/>
        <w:jc w:val="left"/>
        <w:tblLayout w:type="fixed"/>
        <w:tblLook w:val="0400"/>
      </w:tblPr>
      <w:tblGrid>
        <w:gridCol w:w="1656"/>
        <w:gridCol w:w="3611"/>
        <w:gridCol w:w="3805"/>
        <w:tblGridChange w:id="0">
          <w:tblGrid>
            <w:gridCol w:w="1656"/>
            <w:gridCol w:w="3611"/>
            <w:gridCol w:w="3805"/>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47">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Dimension</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48">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Question métier</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49">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Paramétrable car…</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A">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Exigences</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B">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Quel montant minimum, pour quelle garantie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C">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Les seuils GPTC évoluent et peuvent différer par famille d'achat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D">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Applicabilité</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E">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À quels fournisseurs l'exigence s'applique-t-elle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4F">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Les profils fournisseurs n'appellent pas tous les mêmes exigences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0">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Barème</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Que vaut une couverture partielle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2">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Arbitrage métier, à définir ensemble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3">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Pénalités</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Expiration, exclusion, franchise excessive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Chaque pénalité est un curseur de sévérité</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Bandes</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7">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À partir de quel score parle-t-on de non-conformité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58">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Détermine le volume d'alertes vers les acheteurs</w:t>
            </w:r>
          </w:p>
        </w:tc>
      </w:tr>
    </w:tbl>
    <w:p w:rsidR="00000000" w:rsidDel="00000000" w:rsidP="00000000" w:rsidRDefault="00000000" w:rsidRPr="00000000" w14:paraId="00000059">
      <w:pPr>
        <w:spacing w:after="150" w:lineRule="auto"/>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5A">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Extrait illustratif du référentiel de règles (format déclaratif) :</w:t>
      </w:r>
    </w:p>
    <w:p w:rsidR="00000000" w:rsidDel="00000000" w:rsidP="00000000" w:rsidRDefault="00000000" w:rsidRPr="00000000" w14:paraId="0000005B">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requirement_sets:</w:t>
      </w:r>
    </w:p>
    <w:p w:rsidR="00000000" w:rsidDel="00000000" w:rsidP="00000000" w:rsidRDefault="00000000" w:rsidRPr="00000000" w14:paraId="0000005C">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id: gptc_default</w:t>
      </w:r>
    </w:p>
    <w:p w:rsidR="00000000" w:rsidDel="00000000" w:rsidP="00000000" w:rsidRDefault="00000000" w:rsidRPr="00000000" w14:paraId="0000005D">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requirements:</w:t>
      </w:r>
    </w:p>
    <w:p w:rsidR="00000000" w:rsidDel="00000000" w:rsidP="00000000" w:rsidRDefault="00000000" w:rsidRPr="00000000" w14:paraId="0000005E">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coverage: product_liability,   min_amount_eur: 20000000, basis: annual_aggregate, mandatory: true }</w:t>
      </w:r>
    </w:p>
    <w:p w:rsidR="00000000" w:rsidDel="00000000" w:rsidP="00000000" w:rsidRDefault="00000000" w:rsidRPr="00000000" w14:paraId="0000005F">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coverage: pure_financial_loss, min_amount_eur: 15000000, basis: annual_aggregate }</w:t>
      </w:r>
    </w:p>
    <w:p w:rsidR="00000000" w:rsidDel="00000000" w:rsidP="00000000" w:rsidRDefault="00000000" w:rsidRPr="00000000" w14:paraId="00000060">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coverage: product_recall,      min_amount_eur: 15000000, basis: annual_aggregate }</w:t>
      </w:r>
    </w:p>
    <w:p w:rsidR="00000000" w:rsidDel="00000000" w:rsidP="00000000" w:rsidRDefault="00000000" w:rsidRPr="00000000" w14:paraId="00000061">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alerts:</w:t>
      </w:r>
    </w:p>
    <w:p w:rsidR="00000000" w:rsidDel="00000000" w:rsidP="00000000" w:rsidRDefault="00000000" w:rsidRPr="00000000" w14:paraId="00000062">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id: per_occurrence_only, when: "only a per-occurrence limit is found", action: flag_for_review }</w:t>
      </w:r>
    </w:p>
    <w:p w:rsidR="00000000" w:rsidDel="00000000" w:rsidP="00000000" w:rsidRDefault="00000000" w:rsidRPr="00000000" w14:paraId="00000063">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scoring:</w:t>
      </w:r>
    </w:p>
    <w:p w:rsidR="00000000" w:rsidDel="00000000" w:rsidP="00000000" w:rsidRDefault="00000000" w:rsidRPr="00000000" w14:paraId="00000064">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compliance: binary_minimum          </w:t>
      </w:r>
      <w:r w:rsidDel="00000000" w:rsidR="00000000" w:rsidRPr="00000000">
        <w:rPr>
          <w:rFonts w:ascii="Courier New" w:cs="Courier New" w:eastAsia="Courier New" w:hAnsi="Courier New"/>
          <w:color w:val="8a8a8a"/>
          <w:sz w:val="16"/>
          <w:szCs w:val="16"/>
          <w:rtl w:val="0"/>
        </w:rPr>
        <w:t xml:space="preserve"># sous le minimum = non conforme, sans gradation</w:t>
      </w:r>
      <w:r w:rsidDel="00000000" w:rsidR="00000000" w:rsidRPr="00000000">
        <w:rPr>
          <w:rtl w:val="0"/>
        </w:rPr>
      </w:r>
    </w:p>
    <w:p w:rsidR="00000000" w:rsidDel="00000000" w:rsidP="00000000" w:rsidRDefault="00000000" w:rsidRPr="00000000" w14:paraId="00000065">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bonus_bands:                        </w:t>
      </w:r>
      <w:r w:rsidDel="00000000" w:rsidR="00000000" w:rsidRPr="00000000">
        <w:rPr>
          <w:rFonts w:ascii="Courier New" w:cs="Courier New" w:eastAsia="Courier New" w:hAnsi="Courier New"/>
          <w:color w:val="8a8a8a"/>
          <w:sz w:val="16"/>
          <w:szCs w:val="16"/>
          <w:rtl w:val="0"/>
        </w:rPr>
        <w:t xml:space="preserve"># évaluatif uniquement au-dessus du minimum</w:t>
      </w:r>
      <w:r w:rsidDel="00000000" w:rsidR="00000000" w:rsidRPr="00000000">
        <w:rPr>
          <w:rtl w:val="0"/>
        </w:rPr>
      </w:r>
    </w:p>
    <w:p w:rsidR="00000000" w:rsidDel="00000000" w:rsidP="00000000" w:rsidRDefault="00000000" w:rsidRPr="00000000" w14:paraId="00000066">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min_ratio: 1.50, label: COMPLIANT_STRONG }</w:t>
      </w:r>
    </w:p>
    <w:p w:rsidR="00000000" w:rsidDel="00000000" w:rsidP="00000000" w:rsidRDefault="00000000" w:rsidRPr="00000000" w14:paraId="00000067">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 { min_ratio: 1.00, label: COMPLIANT }</w:t>
      </w:r>
    </w:p>
    <w:p w:rsidR="00000000" w:rsidDel="00000000" w:rsidP="00000000" w:rsidRDefault="00000000" w:rsidRPr="00000000" w14:paraId="00000068">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currency:</w:t>
      </w:r>
    </w:p>
    <w:p w:rsidR="00000000" w:rsidDel="00000000" w:rsidP="00000000" w:rsidRDefault="00000000" w:rsidRPr="00000000" w14:paraId="00000069">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base: EUR</w:t>
      </w:r>
    </w:p>
    <w:p w:rsidR="00000000" w:rsidDel="00000000" w:rsidP="00000000" w:rsidRDefault="00000000" w:rsidRPr="00000000" w14:paraId="0000006A">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  rate_source: ECB</w:t>
      </w:r>
    </w:p>
    <w:p w:rsidR="00000000" w:rsidDel="00000000" w:rsidP="00000000" w:rsidRDefault="00000000" w:rsidRPr="00000000" w14:paraId="0000006B">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8a8a8a"/>
          <w:sz w:val="16"/>
          <w:szCs w:val="16"/>
        </w:rPr>
      </w:pPr>
      <w:r w:rsidDel="00000000" w:rsidR="00000000" w:rsidRPr="00000000">
        <w:rPr>
          <w:rFonts w:ascii="Courier New" w:cs="Courier New" w:eastAsia="Courier New" w:hAnsi="Courier New"/>
          <w:color w:val="e8e8e8"/>
          <w:sz w:val="16"/>
          <w:szCs w:val="16"/>
          <w:rtl w:val="0"/>
        </w:rPr>
        <w:t xml:space="preserve">  rate_date_policy: reception_date    </w:t>
      </w:r>
      <w:r w:rsidDel="00000000" w:rsidR="00000000" w:rsidRPr="00000000">
        <w:rPr>
          <w:rFonts w:ascii="Courier New" w:cs="Courier New" w:eastAsia="Courier New" w:hAnsi="Courier New"/>
          <w:color w:val="8a8a8a"/>
          <w:sz w:val="16"/>
          <w:szCs w:val="16"/>
          <w:rtl w:val="0"/>
        </w:rPr>
        <w:t xml:space="preserve"># taux au jour de réception de l'attestation (défaut)</w:t>
      </w:r>
    </w:p>
    <w:p w:rsidR="00000000" w:rsidDel="00000000" w:rsidP="00000000" w:rsidRDefault="00000000" w:rsidRPr="00000000" w14:paraId="0000006C">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bCs w:val="0"/>
          <w:i w:val="1"/>
          <w:iCs w:val="1"/>
          <w:smallCaps w:val="0"/>
          <w:strike w:val="0"/>
          <w:color w:val="777777"/>
          <w:sz w:val="17"/>
          <w:szCs w:val="17"/>
          <w:u w:val="none"/>
          <w:shd w:fill="auto" w:val="clear"/>
          <w:vertAlign w:val="baseline"/>
        </w:rPr>
      </w:pPr>
      <w:r w:rsidDel="00000000" w:rsidR="00000000" w:rsidRPr="00000000">
        <w:rPr>
          <w:rFonts w:ascii="Poppins" w:cs="Poppins" w:eastAsia="Poppins" w:hAnsi="Poppins"/>
          <w:b w:val="0"/>
          <w:bCs w:val="0"/>
          <w:i w:val="1"/>
          <w:iCs w:val="1"/>
          <w:smallCaps w:val="0"/>
          <w:strike w:val="0"/>
          <w:color w:val="777777"/>
          <w:sz w:val="17"/>
          <w:szCs w:val="17"/>
          <w:u w:val="none"/>
          <w:shd w:fill="auto" w:val="clear"/>
          <w:vertAlign w:val="baseline"/>
          <w:rtl w:val="0"/>
        </w:rPr>
        <w:t xml:space="preserve">Le référentiel complet couvre également la taxonomie des garanties avec synonymes multilingues, les sous-limites et les pénalités.</w:t>
      </w:r>
    </w:p>
    <w:p w:rsidR="00000000" w:rsidDel="00000000" w:rsidP="00000000" w:rsidRDefault="00000000" w:rsidRPr="00000000" w14:paraId="0000006E">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Base de limite :</w:t>
      </w:r>
      <w:r w:rsidDel="00000000" w:rsidR="00000000" w:rsidRPr="00000000">
        <w:rPr>
          <w:rFonts w:ascii="Poppins" w:cs="Poppins" w:eastAsia="Poppins" w:hAnsi="Poppins"/>
          <w:color w:val="2b2b2b"/>
          <w:sz w:val="20"/>
          <w:szCs w:val="20"/>
          <w:rtl w:val="0"/>
        </w:rPr>
        <w:t xml:space="preserve"> les exigences sont exprimées en limite annuelle globale (annual aggregate), une limite par sinistre pouvant être rapidement épuisée. Lorsqu'une attestation ne présente qu'une limite par sinistre, une alerte dédiée est levée et l'attestation est signalée en revue.</w:t>
      </w:r>
    </w:p>
    <w:p w:rsidR="00000000" w:rsidDel="00000000" w:rsidP="00000000" w:rsidRDefault="00000000" w:rsidRPr="00000000" w14:paraId="0000006F">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70">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Conformité binaire au minimum : </w:t>
      </w:r>
      <w:r w:rsidDel="00000000" w:rsidR="00000000" w:rsidRPr="00000000">
        <w:rPr>
          <w:rFonts w:ascii="Poppins" w:cs="Poppins" w:eastAsia="Poppins" w:hAnsi="Poppins"/>
          <w:color w:val="2b2b2b"/>
          <w:sz w:val="20"/>
          <w:szCs w:val="20"/>
          <w:rtl w:val="0"/>
        </w:rPr>
        <w:t xml:space="preserve">toute couverture sous le seuil est non conforme, sans gradation (18 M€ pour une exigence de 20 M€ = non conforme). L'évaluation graduée, avec bonus, ne s'applique qu'au-dessus du minimum.</w:t>
      </w:r>
    </w:p>
    <w:p w:rsidR="00000000" w:rsidDel="00000000" w:rsidP="00000000" w:rsidRDefault="00000000" w:rsidRPr="00000000" w14:paraId="00000071">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72">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Taux de change : </w:t>
      </w:r>
      <w:r w:rsidDel="00000000" w:rsidR="00000000" w:rsidRPr="00000000">
        <w:rPr>
          <w:rFonts w:ascii="Poppins" w:cs="Poppins" w:eastAsia="Poppins" w:hAnsi="Poppins"/>
          <w:color w:val="2b2b2b"/>
          <w:sz w:val="20"/>
          <w:szCs w:val="20"/>
          <w:rtl w:val="0"/>
        </w:rPr>
        <w:t xml:space="preserve">conversion EUR au taux BCE du jour de réception de l'attestation (valeur par défaut, validation juridique en cours côté Forvia) ; la source et la date du taux sont tracées pour chaque conversion.</w:t>
      </w:r>
    </w:p>
    <w:p w:rsidR="00000000" w:rsidDel="00000000" w:rsidP="00000000" w:rsidRDefault="00000000" w:rsidRPr="00000000" w14:paraId="00000073">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74">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Vocabulaire :</w:t>
      </w:r>
      <w:r w:rsidDel="00000000" w:rsidR="00000000" w:rsidRPr="00000000">
        <w:rPr>
          <w:rFonts w:ascii="Poppins" w:cs="Poppins" w:eastAsia="Poppins" w:hAnsi="Poppins"/>
          <w:color w:val="2b2b2b"/>
          <w:sz w:val="20"/>
          <w:szCs w:val="20"/>
          <w:rtl w:val="0"/>
        </w:rPr>
        <w:t xml:space="preserve"> la taxonomie couvre explicitement les notions utilisées par la Direction des Assurances — retrait, frais de retrait, DIC et DINC — avec la correspondance vers les libellés de la spécification (product recall, pure financial loss, etc.) portée par les synonymes du référentiel.</w:t>
      </w:r>
    </w:p>
    <w:p w:rsidR="00000000" w:rsidDel="00000000" w:rsidP="00000000" w:rsidRDefault="00000000" w:rsidRPr="00000000" w14:paraId="00000075">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76">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Explicabilité </w:t>
      </w:r>
      <w:r w:rsidDel="00000000" w:rsidR="00000000" w:rsidRPr="00000000">
        <w:rPr>
          <w:rFonts w:ascii="Poppins" w:cs="Poppins" w:eastAsia="Poppins" w:hAnsi="Poppins"/>
          <w:color w:val="2b2b2b"/>
          <w:sz w:val="20"/>
          <w:szCs w:val="20"/>
          <w:rtl w:val="0"/>
        </w:rPr>
        <w:t xml:space="preserve">: la restitution comprend le score global, un score par garantie critique et un motif explicite pour chaque alerte bloquante — aucun verdict sans justification consultable.</w:t>
      </w:r>
    </w:p>
    <w:p w:rsidR="00000000" w:rsidDel="00000000" w:rsidP="00000000" w:rsidRDefault="00000000" w:rsidRPr="00000000" w14:paraId="00000077">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Poppins" w:cs="Poppins" w:eastAsia="Poppins" w:hAnsi="Poppins"/>
          <w:b w:val="1"/>
          <w:bCs w:val="1"/>
          <w:color w:val="2b2b2b"/>
          <w:sz w:val="20"/>
          <w:szCs w:val="20"/>
          <w:rtl w:val="0"/>
        </w:rPr>
        <w:t xml:space="preserve">Agrégation proposée par défaut : </w:t>
      </w:r>
      <w:r w:rsidDel="00000000" w:rsidR="00000000" w:rsidRPr="00000000">
        <w:rPr>
          <w:rFonts w:ascii="Poppins" w:cs="Poppins" w:eastAsia="Poppins" w:hAnsi="Poppins"/>
          <w:color w:val="2b2b2b"/>
          <w:sz w:val="20"/>
          <w:szCs w:val="20"/>
          <w:rtl w:val="0"/>
        </w:rPr>
        <w:t xml:space="preserve">la note la plus défavorable sur les garanties obligatoires (une garantie absente ressort immédiatement), la moyenne pondérée sur les autres — comportement modifiable par paramétrage</w:t>
      </w:r>
      <w:r w:rsidDel="00000000" w:rsidR="00000000" w:rsidRPr="00000000">
        <w:rPr>
          <w:rtl w:val="0"/>
        </w:rPr>
      </w:r>
    </w:p>
    <w:p w:rsidR="00000000" w:rsidDel="00000000" w:rsidP="00000000" w:rsidRDefault="00000000" w:rsidRPr="00000000" w14:paraId="00000079">
      <w:pPr>
        <w:pStyle w:val="Heading2"/>
        <w:rPr/>
      </w:pPr>
      <w:bookmarkStart w:colFirst="0" w:colLast="0" w:name="_7km86nsbp8j2" w:id="8"/>
      <w:bookmarkEnd w:id="8"/>
      <w:r w:rsidDel="00000000" w:rsidR="00000000" w:rsidRPr="00000000">
        <w:rPr>
          <w:rtl w:val="0"/>
        </w:rPr>
        <w:t xml:space="preserve">1.4 Traitement des subtilités des attestations RC</w:t>
      </w:r>
      <w:r w:rsidDel="00000000" w:rsidR="00000000" w:rsidRPr="00000000">
        <w:rPr>
          <w:rtl w:val="0"/>
        </w:rPr>
      </w:r>
    </w:p>
    <w:p w:rsidR="00000000" w:rsidDel="00000000" w:rsidP="00000000" w:rsidRDefault="00000000" w:rsidRPr="00000000" w14:paraId="0000007A">
      <w:pPr>
        <w:pStyle w:val="Heading3"/>
        <w:spacing w:before="340" w:lineRule="auto"/>
        <w:rPr/>
      </w:pPr>
      <w:bookmarkStart w:colFirst="0" w:colLast="0" w:name="_8tm6ta9zx8mp" w:id="9"/>
      <w:bookmarkEnd w:id="9"/>
      <w:r w:rsidDel="00000000" w:rsidR="00000000" w:rsidRPr="00000000">
        <w:rPr>
          <w:rtl w:val="0"/>
        </w:rPr>
        <w:t xml:space="preserve">Contrôles de recevabilité - en amont du scoring</w:t>
      </w:r>
    </w:p>
    <w:p w:rsidR="00000000" w:rsidDel="00000000" w:rsidP="00000000" w:rsidRDefault="00000000" w:rsidRPr="00000000" w14:paraId="0000007B">
      <w:pPr>
        <w:rPr/>
      </w:pPr>
      <w:r w:rsidDel="00000000" w:rsidR="00000000" w:rsidRPr="00000000">
        <w:rPr>
          <w:rFonts w:ascii="Poppins" w:cs="Poppins" w:eastAsia="Poppins" w:hAnsi="Poppins"/>
          <w:color w:val="2b2b2b"/>
          <w:sz w:val="20"/>
          <w:szCs w:val="20"/>
          <w:rtl w:val="0"/>
        </w:rPr>
        <w:t xml:space="preserve">Avant toute analyse IA, chaque attestation passe des </w:t>
      </w:r>
      <w:r w:rsidDel="00000000" w:rsidR="00000000" w:rsidRPr="00000000">
        <w:rPr>
          <w:rFonts w:ascii="Poppins" w:cs="Poppins" w:eastAsia="Poppins" w:hAnsi="Poppins"/>
          <w:b w:val="1"/>
          <w:bCs w:val="1"/>
          <w:color w:val="2b2b2b"/>
          <w:sz w:val="20"/>
          <w:szCs w:val="20"/>
          <w:rtl w:val="0"/>
        </w:rPr>
        <w:t xml:space="preserve">pré-contrôles de recevabilité</w:t>
      </w:r>
      <w:r w:rsidDel="00000000" w:rsidR="00000000" w:rsidRPr="00000000">
        <w:rPr>
          <w:rFonts w:ascii="Poppins" w:cs="Poppins" w:eastAsia="Poppins" w:hAnsi="Poppins"/>
          <w:color w:val="2b2b2b"/>
          <w:sz w:val="20"/>
          <w:szCs w:val="20"/>
          <w:rtl w:val="0"/>
        </w:rPr>
        <w:t xml:space="preserve">. Une attestation non recevable est r</w:t>
      </w:r>
      <w:r w:rsidDel="00000000" w:rsidR="00000000" w:rsidRPr="00000000">
        <w:rPr>
          <w:rFonts w:ascii="Poppins" w:cs="Poppins" w:eastAsia="Poppins" w:hAnsi="Poppins"/>
          <w:b w:val="1"/>
          <w:bCs w:val="1"/>
          <w:color w:val="2b2b2b"/>
          <w:sz w:val="20"/>
          <w:szCs w:val="20"/>
          <w:rtl w:val="0"/>
        </w:rPr>
        <w:t xml:space="preserve">ejetée en amont, sans score</w:t>
      </w:r>
      <w:r w:rsidDel="00000000" w:rsidR="00000000" w:rsidRPr="00000000">
        <w:rPr>
          <w:rFonts w:ascii="Poppins" w:cs="Poppins" w:eastAsia="Poppins" w:hAnsi="Poppins"/>
          <w:color w:val="2b2b2b"/>
          <w:sz w:val="20"/>
          <w:szCs w:val="20"/>
          <w:rtl w:val="0"/>
        </w:rPr>
        <w:t xml:space="preserve">, avec le motif restitué au fournisseur et à l'acheteur :</w:t>
      </w:r>
      <w:r w:rsidDel="00000000" w:rsidR="00000000" w:rsidRPr="00000000">
        <w:rPr>
          <w:rtl w:val="0"/>
        </w:rPr>
      </w:r>
    </w:p>
    <w:p w:rsidR="00000000" w:rsidDel="00000000" w:rsidP="00000000" w:rsidRDefault="00000000" w:rsidRPr="00000000" w14:paraId="0000007C">
      <w:pPr>
        <w:numPr>
          <w:ilvl w:val="0"/>
          <w:numId w:val="14"/>
        </w:numPr>
        <w:ind w:left="720" w:hanging="360"/>
      </w:pPr>
      <w:r w:rsidDel="00000000" w:rsidR="00000000" w:rsidRPr="00000000">
        <w:rPr>
          <w:rFonts w:ascii="Poppins" w:cs="Poppins" w:eastAsia="Poppins" w:hAnsi="Poppins"/>
          <w:b w:val="1"/>
          <w:bCs w:val="1"/>
          <w:color w:val="2b2b2b"/>
          <w:sz w:val="20"/>
          <w:szCs w:val="20"/>
          <w:rtl w:val="0"/>
        </w:rPr>
        <w:t xml:space="preserve">Formalisme</w:t>
      </w:r>
      <w:r w:rsidDel="00000000" w:rsidR="00000000" w:rsidRPr="00000000">
        <w:rPr>
          <w:rFonts w:ascii="Poppins" w:cs="Poppins" w:eastAsia="Poppins" w:hAnsi="Poppins"/>
          <w:color w:val="2b2b2b"/>
          <w:sz w:val="20"/>
          <w:szCs w:val="20"/>
          <w:rtl w:val="0"/>
        </w:rPr>
        <w:t xml:space="preserve"> : absence de tampon, de date ou de signature de l'assureur.</w:t>
      </w:r>
    </w:p>
    <w:p w:rsidR="00000000" w:rsidDel="00000000" w:rsidP="00000000" w:rsidRDefault="00000000" w:rsidRPr="00000000" w14:paraId="0000007D">
      <w:pPr>
        <w:numPr>
          <w:ilvl w:val="0"/>
          <w:numId w:val="14"/>
        </w:numPr>
        <w:ind w:left="720" w:hanging="360"/>
      </w:pPr>
      <w:r w:rsidDel="00000000" w:rsidR="00000000" w:rsidRPr="00000000">
        <w:rPr>
          <w:rFonts w:ascii="Poppins" w:cs="Poppins" w:eastAsia="Poppins" w:hAnsi="Poppins"/>
          <w:b w:val="1"/>
          <w:bCs w:val="1"/>
          <w:color w:val="2b2b2b"/>
          <w:sz w:val="20"/>
          <w:szCs w:val="20"/>
          <w:rtl w:val="0"/>
        </w:rPr>
        <w:t xml:space="preserve">Validité</w:t>
      </w:r>
      <w:r w:rsidDel="00000000" w:rsidR="00000000" w:rsidRPr="00000000">
        <w:rPr>
          <w:rFonts w:ascii="Poppins" w:cs="Poppins" w:eastAsia="Poppins" w:hAnsi="Poppins"/>
          <w:color w:val="2b2b2b"/>
          <w:sz w:val="20"/>
          <w:szCs w:val="20"/>
          <w:rtl w:val="0"/>
        </w:rPr>
        <w:t xml:space="preserve"> : attestation expirée, ou échéance à </w:t>
      </w:r>
      <w:r w:rsidDel="00000000" w:rsidR="00000000" w:rsidRPr="00000000">
        <w:rPr>
          <w:rFonts w:ascii="Poppins" w:cs="Poppins" w:eastAsia="Poppins" w:hAnsi="Poppins"/>
          <w:b w:val="1"/>
          <w:bCs w:val="1"/>
          <w:color w:val="2b2b2b"/>
          <w:sz w:val="20"/>
          <w:szCs w:val="20"/>
          <w:rtl w:val="0"/>
        </w:rPr>
        <w:t xml:space="preserve">moins de 10 mois</w:t>
      </w:r>
      <w:r w:rsidDel="00000000" w:rsidR="00000000" w:rsidRPr="00000000">
        <w:rPr>
          <w:rFonts w:ascii="Poppins" w:cs="Poppins" w:eastAsia="Poppins" w:hAnsi="Poppins"/>
          <w:color w:val="2b2b2b"/>
          <w:sz w:val="20"/>
          <w:szCs w:val="20"/>
          <w:rtl w:val="0"/>
        </w:rPr>
        <w:t xml:space="preserve">.</w:t>
      </w:r>
    </w:p>
    <w:p w:rsidR="00000000" w:rsidDel="00000000" w:rsidP="00000000" w:rsidRDefault="00000000" w:rsidRPr="00000000" w14:paraId="0000007E">
      <w:pPr>
        <w:numPr>
          <w:ilvl w:val="0"/>
          <w:numId w:val="14"/>
        </w:numPr>
        <w:ind w:left="720" w:hanging="360"/>
      </w:pPr>
      <w:r w:rsidDel="00000000" w:rsidR="00000000" w:rsidRPr="00000000">
        <w:rPr>
          <w:rFonts w:ascii="Poppins" w:cs="Poppins" w:eastAsia="Poppins" w:hAnsi="Poppins"/>
          <w:b w:val="1"/>
          <w:bCs w:val="1"/>
          <w:color w:val="2b2b2b"/>
          <w:sz w:val="20"/>
          <w:szCs w:val="20"/>
          <w:rtl w:val="0"/>
        </w:rPr>
        <w:t xml:space="preserve">Émetteur</w:t>
      </w:r>
      <w:r w:rsidDel="00000000" w:rsidR="00000000" w:rsidRPr="00000000">
        <w:rPr>
          <w:rFonts w:ascii="Poppins" w:cs="Poppins" w:eastAsia="Poppins" w:hAnsi="Poppins"/>
          <w:color w:val="2b2b2b"/>
          <w:sz w:val="20"/>
          <w:szCs w:val="20"/>
          <w:rtl w:val="0"/>
        </w:rPr>
        <w:t xml:space="preserve"> : émetteur non recevable (agent non habilité, entité non recevable).</w:t>
      </w:r>
    </w:p>
    <w:p w:rsidR="00000000" w:rsidDel="00000000" w:rsidP="00000000" w:rsidRDefault="00000000" w:rsidRPr="00000000" w14:paraId="0000007F">
      <w:pPr>
        <w:numPr>
          <w:ilvl w:val="0"/>
          <w:numId w:val="14"/>
        </w:numPr>
        <w:ind w:left="720" w:hanging="360"/>
      </w:pPr>
      <w:r w:rsidDel="00000000" w:rsidR="00000000" w:rsidRPr="00000000">
        <w:rPr>
          <w:rFonts w:ascii="Poppins" w:cs="Poppins" w:eastAsia="Poppins" w:hAnsi="Poppins"/>
          <w:b w:val="1"/>
          <w:bCs w:val="1"/>
          <w:color w:val="2b2b2b"/>
          <w:sz w:val="20"/>
          <w:szCs w:val="20"/>
          <w:rtl w:val="0"/>
        </w:rPr>
        <w:t xml:space="preserve">Format</w:t>
      </w:r>
      <w:r w:rsidDel="00000000" w:rsidR="00000000" w:rsidRPr="00000000">
        <w:rPr>
          <w:rFonts w:ascii="Poppins" w:cs="Poppins" w:eastAsia="Poppins" w:hAnsi="Poppins"/>
          <w:color w:val="2b2b2b"/>
          <w:sz w:val="20"/>
          <w:szCs w:val="20"/>
          <w:rtl w:val="0"/>
        </w:rPr>
        <w:t xml:space="preserve"> : PDF attendu, PNG accepté en secours ; un fichier </w:t>
      </w:r>
      <w:r w:rsidDel="00000000" w:rsidR="00000000" w:rsidRPr="00000000">
        <w:rPr>
          <w:rFonts w:ascii="Poppins" w:cs="Poppins" w:eastAsia="Poppins" w:hAnsi="Poppins"/>
          <w:b w:val="1"/>
          <w:bCs w:val="1"/>
          <w:color w:val="2b2b2b"/>
          <w:sz w:val="20"/>
          <w:szCs w:val="20"/>
          <w:rtl w:val="0"/>
        </w:rPr>
        <w:t xml:space="preserve">DOCX est traité comme un signal de falsification</w:t>
      </w:r>
      <w:r w:rsidDel="00000000" w:rsidR="00000000" w:rsidRPr="00000000">
        <w:rPr>
          <w:rFonts w:ascii="Poppins" w:cs="Poppins" w:eastAsia="Poppins" w:hAnsi="Poppins"/>
          <w:color w:val="2b2b2b"/>
          <w:sz w:val="20"/>
          <w:szCs w:val="20"/>
          <w:rtl w:val="0"/>
        </w:rPr>
        <w:t xml:space="preserve"> et routé en revue.</w:t>
      </w:r>
      <w:r w:rsidDel="00000000" w:rsidR="00000000" w:rsidRPr="00000000">
        <w:rPr>
          <w:rtl w:val="0"/>
        </w:rPr>
      </w:r>
    </w:p>
    <w:p w:rsidR="00000000" w:rsidDel="00000000" w:rsidP="00000000" w:rsidRDefault="00000000" w:rsidRPr="00000000" w14:paraId="00000080">
      <w:pPr>
        <w:rPr/>
      </w:pPr>
      <w:r w:rsidDel="00000000" w:rsidR="00000000" w:rsidRPr="00000000">
        <w:rPr>
          <w:rFonts w:ascii="Poppins" w:cs="Poppins" w:eastAsia="Poppins" w:hAnsi="Poppins"/>
          <w:color w:val="2b2b2b"/>
          <w:sz w:val="20"/>
          <w:szCs w:val="20"/>
          <w:rtl w:val="0"/>
        </w:rPr>
        <w:t xml:space="preserve">Notre conception intègre par ailleurs les spécificités réelles des attestations de responsabilité civile :</w:t>
      </w:r>
      <w:r w:rsidDel="00000000" w:rsidR="00000000" w:rsidRPr="00000000">
        <w:rPr>
          <w:rtl w:val="0"/>
        </w:rPr>
      </w:r>
    </w:p>
    <w:p w:rsidR="00000000" w:rsidDel="00000000" w:rsidP="00000000" w:rsidRDefault="00000000" w:rsidRPr="00000000" w14:paraId="00000081">
      <w:pPr>
        <w:spacing w:after="150" w:lineRule="auto"/>
        <w:rPr>
          <w:rFonts w:ascii="Poppins" w:cs="Poppins" w:eastAsia="Poppins" w:hAnsi="Poppins"/>
          <w:color w:val="2b2b2b"/>
          <w:sz w:val="20"/>
          <w:szCs w:val="20"/>
        </w:rPr>
      </w:pPr>
      <w:r w:rsidDel="00000000" w:rsidR="00000000" w:rsidRPr="00000000">
        <w:rPr>
          <w:rtl w:val="0"/>
        </w:rPr>
      </w:r>
    </w:p>
    <w:tbl>
      <w:tblPr>
        <w:tblStyle w:val="Table3"/>
        <w:tblW w:w="9072.0" w:type="dxa"/>
        <w:jc w:val="left"/>
        <w:tblLayout w:type="fixed"/>
        <w:tblLook w:val="0400"/>
      </w:tblPr>
      <w:tblGrid>
        <w:gridCol w:w="2380"/>
        <w:gridCol w:w="6692"/>
        <w:tblGridChange w:id="0">
          <w:tblGrid>
            <w:gridCol w:w="2380"/>
            <w:gridCol w:w="6692"/>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82">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Sujet</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83">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Traitement dans la solution</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4">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Par sinistre vs par année d'assurance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5">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La base d'engagement est extraite et comparée à celle de l'exigence ; une base indéterminable déclenche une pénalité et une revue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6">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Sous-limites</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7">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 rappel de produits est fréquemment une sous-limite de la RC produits : la taxonomie modélise ce lien et interdit de cumuler une sous-limite avec sa garantie mère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8">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Une attestation = une entité contractante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9">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Pas de consolidation multi-polices entre documents ; en coassurance, tous les coassureurs doivent avoir signé, sinon rejet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A">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Entité contractante vs maison mère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B">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Une attestation au nom de la maison mère au lieu de la filiale qui contracte déclenche une alerte bloquante — l'attestation serait inopérante en cas de litige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C">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Portée territoriale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D">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Extraction du périmètre géographique et pénalité configurable (ex. exclusion USA/Canada)</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E">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Base claims made / occurrence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8F">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Champ extrait si présent — cette mention figure rarement sur les attestations ; restitué à titre d'information, sans règle bâtie dessus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0">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Franchises</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1">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Deux politiques possibles : pénalité au-delà d'un seuil, ou déduction de la limite effective — à trancher ensemble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2">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Devise et date de taux</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3">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Conversion EUR au taux BCE du jour de réception, source et date tracées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4">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Fournisseur non identifiable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5">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Impacte le score d'exactitude (pas le score de risque) et déclenche un rapprochement manuel avec le référentiel Ariba</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6">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Comparaison d'une année sur l'autre (V1)</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97">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Historisation des numéros de police et comparaison avec l'attestation précédente pour détecter des changements de garanties suspects</w:t>
            </w:r>
          </w:p>
        </w:tc>
      </w:tr>
    </w:tbl>
    <w:p w:rsidR="00000000" w:rsidDel="00000000" w:rsidP="00000000" w:rsidRDefault="00000000" w:rsidRPr="00000000" w14:paraId="00000098">
      <w:pPr>
        <w:pStyle w:val="Heading2"/>
        <w:rPr/>
      </w:pPr>
      <w:bookmarkStart w:colFirst="0" w:colLast="0" w:name="_caix4dzyhbb" w:id="10"/>
      <w:bookmarkEnd w:id="10"/>
      <w:r w:rsidDel="00000000" w:rsidR="00000000" w:rsidRPr="00000000">
        <w:rPr>
          <w:rtl w:val="0"/>
        </w:rPr>
        <w:t xml:space="preserve">1.5 Gouvernance du référentiel</w:t>
      </w:r>
    </w:p>
    <w:p w:rsidR="00000000" w:rsidDel="00000000" w:rsidP="00000000" w:rsidRDefault="00000000" w:rsidRPr="00000000" w14:paraId="00000099">
      <w:pPr>
        <w:numPr>
          <w:ilvl w:val="0"/>
          <w:numId w:val="7"/>
        </w:numPr>
        <w:spacing w:after="75" w:before="28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Versionnement et date d'effet.</w:t>
      </w:r>
      <w:r w:rsidDel="00000000" w:rsidR="00000000" w:rsidRPr="00000000">
        <w:rPr>
          <w:rFonts w:ascii="Poppins" w:cs="Poppins" w:eastAsia="Poppins" w:hAnsi="Poppins"/>
          <w:color w:val="2b2b2b"/>
          <w:sz w:val="20"/>
          <w:szCs w:val="20"/>
          <w:rtl w:val="0"/>
        </w:rPr>
        <w:t xml:space="preserve"> Chaque résultat stocke la version du référentiel qui l'a produit : il est toujours possible d'expliquer pourquoi un fournisseur était conforme à une date et ne l'est plus à une autre. Répond à l'exigence de traçabilité complète (§4.1).</w:t>
      </w:r>
    </w:p>
    <w:p w:rsidR="00000000" w:rsidDel="00000000" w:rsidP="00000000" w:rsidRDefault="00000000" w:rsidRPr="00000000" w14:paraId="0000009A">
      <w:pPr>
        <w:numPr>
          <w:ilvl w:val="0"/>
          <w:numId w:val="7"/>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Validation à la publication.</w:t>
      </w:r>
      <w:r w:rsidDel="00000000" w:rsidR="00000000" w:rsidRPr="00000000">
        <w:rPr>
          <w:rFonts w:ascii="Poppins" w:cs="Poppins" w:eastAsia="Poppins" w:hAnsi="Poppins"/>
          <w:color w:val="2b2b2b"/>
          <w:sz w:val="20"/>
          <w:szCs w:val="20"/>
          <w:rtl w:val="0"/>
        </w:rPr>
        <w:t xml:space="preserve"> Toute modification du référentiel est validée par schéma avant chargement : une incohérence est rejetée au dépôt, pas découverte en production.</w:t>
      </w:r>
    </w:p>
    <w:p w:rsidR="00000000" w:rsidDel="00000000" w:rsidP="00000000" w:rsidRDefault="00000000" w:rsidRPr="00000000" w14:paraId="0000009B">
      <w:pPr>
        <w:numPr>
          <w:ilvl w:val="0"/>
          <w:numId w:val="7"/>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Jeu de non-régression.</w:t>
      </w:r>
      <w:r w:rsidDel="00000000" w:rsidR="00000000" w:rsidRPr="00000000">
        <w:rPr>
          <w:rFonts w:ascii="Poppins" w:cs="Poppins" w:eastAsia="Poppins" w:hAnsi="Poppins"/>
          <w:color w:val="2b2b2b"/>
          <w:sz w:val="20"/>
          <w:szCs w:val="20"/>
          <w:rtl w:val="0"/>
        </w:rPr>
        <w:t xml:space="preserve"> Un lot d'attestations de référence avec scores attendus est rejoué avant toute activation d'une nouvelle version des règles.</w:t>
      </w:r>
    </w:p>
    <w:p w:rsidR="00000000" w:rsidDel="00000000" w:rsidP="00000000" w:rsidRDefault="00000000" w:rsidRPr="00000000" w14:paraId="0000009C">
      <w:pPr>
        <w:numPr>
          <w:ilvl w:val="0"/>
          <w:numId w:val="7"/>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Mode simulation (V1).</w:t>
      </w:r>
      <w:r w:rsidDel="00000000" w:rsidR="00000000" w:rsidRPr="00000000">
        <w:rPr>
          <w:rFonts w:ascii="Poppins" w:cs="Poppins" w:eastAsia="Poppins" w:hAnsi="Poppins"/>
          <w:color w:val="2b2b2b"/>
          <w:sz w:val="20"/>
          <w:szCs w:val="20"/>
          <w:rtl w:val="0"/>
        </w:rPr>
        <w:t xml:space="preserve"> Rejeu d'un référentiel candidat sur le parc existant - par exemple pour mesurer l'impact d'un passage du seuil RC produits à 25 M€ - avec le différentiel de fournisseurs changeant de statut.</w:t>
      </w:r>
    </w:p>
    <w:p w:rsidR="00000000" w:rsidDel="00000000" w:rsidP="00000000" w:rsidRDefault="00000000" w:rsidRPr="00000000" w14:paraId="0000009D">
      <w:pPr>
        <w:rPr>
          <w:rFonts w:ascii="Poppins" w:cs="Poppins" w:eastAsia="Poppins" w:hAnsi="Poppins"/>
          <w:b w:val="1"/>
          <w:bCs w:val="1"/>
          <w:color w:val="141414"/>
          <w:sz w:val="29"/>
          <w:szCs w:val="29"/>
        </w:rPr>
      </w:pPr>
      <w:bookmarkStart w:colFirst="0" w:colLast="0" w:name="_r2ajet3qya8d" w:id="11"/>
      <w:bookmarkEnd w:id="11"/>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1.6 Paramétrage vs développement</w:t>
      </w:r>
      <w:r w:rsidDel="00000000" w:rsidR="00000000" w:rsidRPr="00000000">
        <w:rPr>
          <w:rtl w:val="0"/>
        </w:rPr>
      </w:r>
    </w:p>
    <w:tbl>
      <w:tblPr>
        <w:tblStyle w:val="Table4"/>
        <w:tblW w:w="9072.0" w:type="dxa"/>
        <w:jc w:val="left"/>
        <w:tblLayout w:type="fixed"/>
        <w:tblLook w:val="0400"/>
      </w:tblPr>
      <w:tblGrid>
        <w:gridCol w:w="3641"/>
        <w:gridCol w:w="5431"/>
        <w:tblGridChange w:id="0">
          <w:tblGrid>
            <w:gridCol w:w="3641"/>
            <w:gridCol w:w="5431"/>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9F">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Configurable sans développement</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A0">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Nécessite un développement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Seuils, montants, devises, taux</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2">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Ajout d'une nouvelle garantie à la taxonomie (le moteur d'extraction doit apprendre à la lire)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3">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Poids, barèmes, bandes, pénalités</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Nouveau type de signal (ex. notation financière de l'assureur)</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Conditions d'applicabilité par catégorie / pays / entité</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Nouvelle logique d'agrégation</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7">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Synonymes multilingues d'une garantie existante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8">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Connexion à une source de données externe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9">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Politique de taux de change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AA">
            <w:pPr>
              <w:rPr>
                <w:rFonts w:ascii="Poppins" w:cs="Poppins" w:eastAsia="Poppins" w:hAnsi="Poppins"/>
                <w:color w:val="2b2b2b"/>
                <w:sz w:val="19"/>
                <w:szCs w:val="19"/>
              </w:rPr>
            </w:pPr>
            <w:r w:rsidDel="00000000" w:rsidR="00000000" w:rsidRPr="00000000">
              <w:rPr>
                <w:rtl w:val="0"/>
              </w:rPr>
            </w:r>
          </w:p>
        </w:tc>
      </w:tr>
    </w:tbl>
    <w:p w:rsidR="00000000" w:rsidDel="00000000" w:rsidP="00000000" w:rsidRDefault="00000000" w:rsidRPr="00000000" w14:paraId="000000AB">
      <w:pPr>
        <w:rPr>
          <w:rFonts w:ascii="Poppins" w:cs="Poppins" w:eastAsia="Poppins" w:hAnsi="Poppins"/>
          <w:color w:val="141414"/>
          <w:sz w:val="20"/>
          <w:szCs w:val="20"/>
        </w:rPr>
      </w:pPr>
      <w:r w:rsidDel="00000000" w:rsidR="00000000" w:rsidRPr="00000000">
        <w:rPr>
          <w:rtl w:val="0"/>
        </w:rPr>
      </w:r>
    </w:p>
    <w:p w:rsidR="00000000" w:rsidDel="00000000" w:rsidP="00000000" w:rsidRDefault="00000000" w:rsidRPr="00000000" w14:paraId="000000AC">
      <w:pPr>
        <w:rPr>
          <w:rFonts w:ascii="Poppins" w:cs="Poppins" w:eastAsia="Poppins" w:hAnsi="Poppins"/>
          <w:color w:val="2b2b2b"/>
          <w:sz w:val="20"/>
          <w:szCs w:val="20"/>
        </w:rPr>
      </w:pPr>
      <w:r w:rsidDel="00000000" w:rsidR="00000000" w:rsidRPr="00000000">
        <w:rPr>
          <w:rFonts w:ascii="Poppins" w:cs="Poppins" w:eastAsia="Poppins" w:hAnsi="Poppins"/>
          <w:b w:val="1"/>
          <w:bCs w:val="1"/>
          <w:color w:val="2b2b2b"/>
          <w:sz w:val="20"/>
          <w:szCs w:val="20"/>
          <w:rtl w:val="0"/>
        </w:rPr>
        <w:t xml:space="preserve">Évolution V1 identifiée - notation des assureurs. </w:t>
      </w:r>
      <w:r w:rsidDel="00000000" w:rsidR="00000000" w:rsidRPr="00000000">
        <w:rPr>
          <w:rFonts w:ascii="Poppins" w:cs="Poppins" w:eastAsia="Poppins" w:hAnsi="Poppins"/>
          <w:color w:val="2b2b2b"/>
          <w:sz w:val="20"/>
          <w:szCs w:val="20"/>
          <w:rtl w:val="0"/>
        </w:rPr>
        <w:t xml:space="preserve">Conformément à vos réponses, la V1 intègre la grille de notation des assureurs : alerte lorsqu'un assureur est non noté ou mal noté, et alerte en cas de captive non frontée. La source de notation externe reste à définir ensemble.</w:t>
      </w:r>
    </w:p>
    <w:p w:rsidR="00000000" w:rsidDel="00000000" w:rsidP="00000000" w:rsidRDefault="00000000" w:rsidRPr="00000000" w14:paraId="000000AD">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Poppins" w:cs="Poppins" w:eastAsia="Poppins" w:hAnsi="Poppins"/>
          <w:b w:val="1"/>
          <w:bCs w:val="1"/>
          <w:color w:val="2b2b2b"/>
          <w:sz w:val="20"/>
          <w:szCs w:val="20"/>
          <w:rtl w:val="0"/>
        </w:rPr>
        <w:t xml:space="preserve">La structure du référentiel est la même dès le PoC. </w:t>
      </w:r>
      <w:r w:rsidDel="00000000" w:rsidR="00000000" w:rsidRPr="00000000">
        <w:rPr>
          <w:rFonts w:ascii="Poppins" w:cs="Poppins" w:eastAsia="Poppins" w:hAnsi="Poppins"/>
          <w:color w:val="2b2b2b"/>
          <w:sz w:val="20"/>
          <w:szCs w:val="20"/>
          <w:rtl w:val="0"/>
        </w:rPr>
        <w:t xml:space="preserve">Rien n'est jeté entre le PoC et la V1 : le support des règles évolue (fichier versionné → interface d'administration), la structure et les résultats restent comparables.</w:t>
      </w:r>
      <w:r w:rsidDel="00000000" w:rsidR="00000000" w:rsidRPr="00000000">
        <w:rPr>
          <w:rtl w:val="0"/>
        </w:rPr>
      </w:r>
    </w:p>
    <w:p w:rsidR="00000000" w:rsidDel="00000000" w:rsidP="00000000" w:rsidRDefault="00000000" w:rsidRPr="00000000" w14:paraId="000000AF">
      <w:pPr>
        <w:rPr>
          <w:rFonts w:ascii="Poppins" w:cs="Poppins" w:eastAsia="Poppins" w:hAnsi="Poppins"/>
          <w:color w:val="141414"/>
          <w:sz w:val="20"/>
          <w:szCs w:val="20"/>
        </w:rPr>
      </w:pPr>
      <w:r w:rsidDel="00000000" w:rsidR="00000000" w:rsidRPr="00000000">
        <w:rPr>
          <w:rtl w:val="0"/>
        </w:rPr>
      </w:r>
    </w:p>
    <w:p w:rsidR="00000000" w:rsidDel="00000000" w:rsidP="00000000" w:rsidRDefault="00000000" w:rsidRPr="00000000" w14:paraId="000000B0">
      <w:pPr>
        <w:rPr>
          <w:rFonts w:ascii="Poppins" w:cs="Poppins" w:eastAsia="Poppins" w:hAnsi="Poppins"/>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b w:val="0"/>
          <w:bCs w:val="0"/>
          <w:color w:val="777777"/>
          <w:sz w:val="20"/>
          <w:szCs w:val="20"/>
        </w:rPr>
      </w:pPr>
      <w:bookmarkStart w:colFirst="0" w:colLast="0" w:name="_q64dp0jxwed4" w:id="12"/>
      <w:bookmarkEnd w:id="12"/>
      <w:r w:rsidDel="00000000" w:rsidR="00000000" w:rsidRPr="00000000">
        <w:rPr>
          <w:sz w:val="41"/>
          <w:szCs w:val="41"/>
          <w:rtl w:val="0"/>
        </w:rPr>
        <w:t xml:space="preserve">Intégration avec SAP Ariba</w:t>
      </w:r>
      <w:r w:rsidDel="00000000" w:rsidR="00000000" w:rsidRPr="00000000">
        <w:rPr>
          <w:rtl w:val="0"/>
        </w:rPr>
        <w:br w:type="textWrapping"/>
      </w:r>
      <w:r w:rsidDel="00000000" w:rsidR="00000000" w:rsidRPr="00000000">
        <w:rPr>
          <w:color w:val="777777"/>
          <w:sz w:val="20"/>
          <w:szCs w:val="20"/>
          <w:rtl w:val="0"/>
        </w:rPr>
        <w:t xml:space="preserve">Architecture d'intégration et prérequis</w:t>
      </w:r>
      <w:r w:rsidDel="00000000" w:rsidR="00000000" w:rsidRPr="00000000">
        <w:rPr>
          <w:rtl w:val="0"/>
        </w:rPr>
      </w:r>
    </w:p>
    <w:p w:rsidR="00000000" w:rsidDel="00000000" w:rsidP="00000000" w:rsidRDefault="00000000" w:rsidRPr="00000000" w14:paraId="000000B2">
      <w:pPr>
        <w:pStyle w:val="Heading2"/>
        <w:rPr/>
      </w:pPr>
      <w:bookmarkStart w:colFirst="0" w:colLast="0" w:name="_9eqx65l47sfl" w:id="13"/>
      <w:bookmarkEnd w:id="13"/>
      <w:r w:rsidDel="00000000" w:rsidR="00000000" w:rsidRPr="00000000">
        <w:rPr>
          <w:rtl w:val="0"/>
        </w:rPr>
        <w:t xml:space="preserve">2.1 Principe</w:t>
      </w:r>
      <w:r w:rsidDel="00000000" w:rsidR="00000000" w:rsidRPr="00000000">
        <w:rPr>
          <w:rtl w:val="0"/>
        </w:rPr>
      </w:r>
    </w:p>
    <w:p w:rsidR="00000000" w:rsidDel="00000000" w:rsidP="00000000" w:rsidRDefault="00000000" w:rsidRPr="00000000" w14:paraId="000000B3">
      <w:pPr>
        <w:rPr>
          <w:rFonts w:ascii="Poppins" w:cs="Poppins" w:eastAsia="Poppins" w:hAnsi="Poppins"/>
          <w:color w:val="141414"/>
          <w:sz w:val="20"/>
          <w:szCs w:val="20"/>
        </w:rPr>
      </w:pPr>
      <w:r w:rsidDel="00000000" w:rsidR="00000000" w:rsidRPr="00000000">
        <w:rPr>
          <w:rFonts w:ascii="Poppins" w:cs="Poppins" w:eastAsia="Poppins" w:hAnsi="Poppins"/>
          <w:color w:val="141414"/>
          <w:sz w:val="20"/>
          <w:szCs w:val="20"/>
          <w:rtl w:val="0"/>
        </w:rPr>
        <w:t xml:space="preserve">L'intégration s'appuie exclusivement sur les REST APIs officielles SAP Ariba (API Gateway) : notre plateforme dialogue directement avec le module SLP (Supplier Lifecycle &amp; Performance), où les attestations sont collectées via les questionnaires fournisseurs et leurs questions de type « certificate ». Aucun changement n'est demandé aux fournisseurs ; côté Forvia, la création de champs de questionnaire personnalisés est à prévoir pour accueillir les résultats réinjectés (voir §2.4).</w:t>
      </w:r>
    </w:p>
    <w:p w:rsidR="00000000" w:rsidDel="00000000" w:rsidP="00000000" w:rsidRDefault="00000000" w:rsidRPr="00000000" w14:paraId="000000B4">
      <w:pPr>
        <w:rPr>
          <w:rFonts w:ascii="Poppins" w:cs="Poppins" w:eastAsia="Poppins" w:hAnsi="Poppins"/>
          <w:color w:val="141414"/>
          <w:sz w:val="20"/>
          <w:szCs w:val="20"/>
        </w:rPr>
      </w:pPr>
      <w:r w:rsidDel="00000000" w:rsidR="00000000" w:rsidRPr="00000000">
        <w:rPr>
          <w:rtl w:val="0"/>
        </w:rPr>
      </w:r>
    </w:p>
    <w:p w:rsidR="00000000" w:rsidDel="00000000" w:rsidP="00000000" w:rsidRDefault="00000000" w:rsidRPr="00000000" w14:paraId="000000B5">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[Fournisseur dépose son attestation dans SAP Ariba]</w:t>
      </w:r>
    </w:p>
    <w:p w:rsidR="00000000" w:rsidDel="00000000" w:rsidP="00000000" w:rsidRDefault="00000000" w:rsidRPr="00000000" w14:paraId="000000B6">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Fira Mono" w:cs="Fira Mono" w:eastAsia="Fira Mono" w:hAnsi="Fira Mono"/>
          <w:color w:val="e8e8e8"/>
          <w:sz w:val="16"/>
          <w:szCs w:val="16"/>
          <w:rtl w:val="0"/>
        </w:rPr>
        <w:t xml:space="preserve">        ↓</w:t>
      </w:r>
    </w:p>
    <w:p w:rsidR="00000000" w:rsidDel="00000000" w:rsidP="00000000" w:rsidRDefault="00000000" w:rsidRPr="00000000" w14:paraId="000000B7">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[Export automatique : PDF + métadonnées fournisseur]</w:t>
      </w:r>
    </w:p>
    <w:p w:rsidR="00000000" w:rsidDel="00000000" w:rsidP="00000000" w:rsidRDefault="00000000" w:rsidRPr="00000000" w14:paraId="000000B8">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Fira Mono" w:cs="Fira Mono" w:eastAsia="Fira Mono" w:hAnsi="Fira Mono"/>
          <w:color w:val="e8e8e8"/>
          <w:sz w:val="16"/>
          <w:szCs w:val="16"/>
          <w:rtl w:val="0"/>
        </w:rPr>
        <w:t xml:space="preserve">        ↓</w:t>
      </w:r>
    </w:p>
    <w:p w:rsidR="00000000" w:rsidDel="00000000" w:rsidP="00000000" w:rsidRDefault="00000000" w:rsidRPr="00000000" w14:paraId="000000B9">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[Moteur d'analyse Arkan : extraction + double scoring]</w:t>
      </w:r>
    </w:p>
    <w:p w:rsidR="00000000" w:rsidDel="00000000" w:rsidP="00000000" w:rsidRDefault="00000000" w:rsidRPr="00000000" w14:paraId="000000BA">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Fira Mono" w:cs="Fira Mono" w:eastAsia="Fira Mono" w:hAnsi="Fira Mono"/>
          <w:color w:val="e8e8e8"/>
          <w:sz w:val="16"/>
          <w:szCs w:val="16"/>
          <w:rtl w:val="0"/>
        </w:rPr>
        <w:t xml:space="preserve">        ↓</w:t>
      </w:r>
    </w:p>
    <w:p w:rsidR="00000000" w:rsidDel="00000000" w:rsidP="00000000" w:rsidRDefault="00000000" w:rsidRPr="00000000" w14:paraId="000000BB">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[Réinjection des résultats structurés dans SAP Ariba]</w:t>
      </w:r>
    </w:p>
    <w:p w:rsidR="00000000" w:rsidDel="00000000" w:rsidP="00000000" w:rsidRDefault="00000000" w:rsidRPr="00000000" w14:paraId="000000BC">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before="150" w:lineRule="auto"/>
        <w:rPr>
          <w:rFonts w:ascii="Courier New" w:cs="Courier New" w:eastAsia="Courier New" w:hAnsi="Courier New"/>
          <w:color w:val="e8e8e8"/>
          <w:sz w:val="16"/>
          <w:szCs w:val="16"/>
        </w:rPr>
      </w:pPr>
      <w:r w:rsidDel="00000000" w:rsidR="00000000" w:rsidRPr="00000000">
        <w:rPr>
          <w:rFonts w:ascii="Fira Mono" w:cs="Fira Mono" w:eastAsia="Fira Mono" w:hAnsi="Fira Mono"/>
          <w:color w:val="e8e8e8"/>
          <w:sz w:val="16"/>
          <w:szCs w:val="16"/>
          <w:rtl w:val="0"/>
        </w:rPr>
        <w:t xml:space="preserve">        ↓</w:t>
      </w:r>
    </w:p>
    <w:p w:rsidR="00000000" w:rsidDel="00000000" w:rsidP="00000000" w:rsidRDefault="00000000" w:rsidRPr="00000000" w14:paraId="000000BD">
      <w:pPr>
        <w:shd w:fill="1414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60" w:line="372" w:lineRule="auto"/>
        <w:rPr>
          <w:rFonts w:ascii="Courier New" w:cs="Courier New" w:eastAsia="Courier New" w:hAnsi="Courier New"/>
          <w:color w:val="e8e8e8"/>
          <w:sz w:val="16"/>
          <w:szCs w:val="16"/>
        </w:rPr>
      </w:pPr>
      <w:r w:rsidDel="00000000" w:rsidR="00000000" w:rsidRPr="00000000">
        <w:rPr>
          <w:rFonts w:ascii="Courier New" w:cs="Courier New" w:eastAsia="Courier New" w:hAnsi="Courier New"/>
          <w:color w:val="e8e8e8"/>
          <w:sz w:val="16"/>
          <w:szCs w:val="16"/>
          <w:rtl w:val="0"/>
        </w:rPr>
        <w:t xml:space="preserve">[Tableau de bord acheteurs &amp; Direction des Assurances]</w:t>
      </w:r>
      <w:r w:rsidDel="00000000" w:rsidR="00000000" w:rsidRPr="00000000">
        <w:rPr>
          <w:rtl w:val="0"/>
        </w:rPr>
      </w:r>
    </w:p>
    <w:p w:rsidR="00000000" w:rsidDel="00000000" w:rsidP="00000000" w:rsidRDefault="00000000" w:rsidRPr="00000000" w14:paraId="000000BE">
      <w:pPr>
        <w:pStyle w:val="Heading2"/>
        <w:rPr/>
      </w:pPr>
      <w:bookmarkStart w:colFirst="0" w:colLast="0" w:name="_a6fzyk1ph2pq" w:id="14"/>
      <w:bookmarkEnd w:id="14"/>
      <w:r w:rsidDel="00000000" w:rsidR="00000000" w:rsidRPr="00000000">
        <w:rPr>
          <w:rtl w:val="0"/>
        </w:rPr>
        <w:t xml:space="preserve">2.2 APIs utilisées</w:t>
      </w:r>
    </w:p>
    <w:tbl>
      <w:tblPr>
        <w:tblStyle w:val="Table5"/>
        <w:tblW w:w="9072.0" w:type="dxa"/>
        <w:jc w:val="left"/>
        <w:tblLayout w:type="fixed"/>
        <w:tblLook w:val="0400"/>
      </w:tblPr>
      <w:tblGrid>
        <w:gridCol w:w="3279"/>
        <w:gridCol w:w="5793"/>
        <w:tblGridChange w:id="0">
          <w:tblGrid>
            <w:gridCol w:w="3279"/>
            <w:gridCol w:w="5793"/>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BF">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API SAP Ariba</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C0">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Usage dans la solution</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Supplier Data API with Pagination</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2">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Lecture des fournisseurs et du détail des questionnaires, y compris les questions de type « certificate » portant les attestations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3">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External Approval API - </w:t>
            </w:r>
            <w:r w:rsidDel="00000000" w:rsidR="00000000" w:rsidRPr="00000000">
              <w:rPr>
                <w:rFonts w:ascii="Poppins" w:cs="Poppins" w:eastAsia="Poppins" w:hAnsi="Poppins"/>
                <w:color w:val="2b2b2b"/>
                <w:sz w:val="19"/>
                <w:szCs w:val="19"/>
                <w:rtl w:val="0"/>
              </w:rPr>
              <w:t xml:space="preserve">Téléchargement des pièces jointes</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Téléchargement des pièces jointes (PDF d'attestation) référencées dans les questionnaires</w:t>
              <w:br w:type="textWrapping"/>
            </w:r>
            <w:r w:rsidDel="00000000" w:rsidR="00000000" w:rsidRPr="00000000">
              <w:rPr>
                <w:rFonts w:ascii="Poppins" w:cs="Poppins" w:eastAsia="Poppins" w:hAnsi="Poppins"/>
                <w:color w:val="2b2b2b"/>
                <w:sz w:val="19"/>
                <w:szCs w:val="19"/>
                <w:rtl w:val="0"/>
              </w:rPr>
              <w:t xml:space="preserve">Cette API sert aux workflows d'approbation externes ; vérifier sur la documentation SAP qu'elle est bien le canal de téléchargement des pièces jointes de questionnaire. Une erreur de nom sera relevée par l'équipe SAP Forvia et décrédibilisera la section.</w:t>
            </w:r>
            <w:r w:rsidDel="00000000" w:rsidR="00000000" w:rsidRPr="00000000">
              <w:rPr>
                <w:rtl w:val="0"/>
              </w:rPr>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Operational Reporting API</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C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Détection des nouvelles attestations et des mises à jour, par interrogation périodique filtrée sur la date de modification</w:t>
            </w:r>
          </w:p>
        </w:tc>
      </w:tr>
    </w:tbl>
    <w:p w:rsidR="00000000" w:rsidDel="00000000" w:rsidP="00000000" w:rsidRDefault="00000000" w:rsidRPr="00000000" w14:paraId="000000C7">
      <w:pPr>
        <w:pStyle w:val="Heading2"/>
        <w:rPr/>
      </w:pPr>
      <w:bookmarkStart w:colFirst="0" w:colLast="0" w:name="_9l6xb1mzlmsp" w:id="15"/>
      <w:bookmarkEnd w:id="15"/>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2.3 Robustesse des flux</w:t>
      </w:r>
    </w:p>
    <w:p w:rsidR="00000000" w:rsidDel="00000000" w:rsidP="00000000" w:rsidRDefault="00000000" w:rsidRPr="00000000" w14:paraId="000000C9">
      <w:pPr>
        <w:numPr>
          <w:ilvl w:val="0"/>
          <w:numId w:val="8"/>
        </w:numPr>
        <w:spacing w:after="75" w:before="280" w:lineRule="auto"/>
        <w:ind w:left="720" w:hanging="360"/>
        <w:rPr>
          <w:color w:val="2b2b2b"/>
        </w:rPr>
      </w:pPr>
      <w:r w:rsidDel="00000000" w:rsidR="00000000" w:rsidRPr="00000000">
        <w:rPr>
          <w:rFonts w:ascii="Poppins" w:cs="Poppins" w:eastAsia="Poppins" w:hAnsi="Poppins"/>
          <w:color w:val="141414"/>
          <w:sz w:val="20"/>
          <w:szCs w:val="20"/>
          <w:rtl w:val="0"/>
        </w:rPr>
        <w:t xml:space="preserve">Authentification OAuth 2.0</w:t>
      </w:r>
      <w:r w:rsidDel="00000000" w:rsidR="00000000" w:rsidRPr="00000000">
        <w:rPr>
          <w:rFonts w:ascii="Poppins" w:cs="Poppins" w:eastAsia="Poppins" w:hAnsi="Poppins"/>
          <w:color w:val="2b2b2b"/>
          <w:sz w:val="20"/>
          <w:szCs w:val="20"/>
          <w:rtl w:val="0"/>
        </w:rPr>
        <w:t xml:space="preserve"> (client credentials) et application key, sur le realm de test pour le PoC puis le realm de production.</w:t>
      </w:r>
    </w:p>
    <w:p w:rsidR="00000000" w:rsidDel="00000000" w:rsidP="00000000" w:rsidRDefault="00000000" w:rsidRPr="00000000" w14:paraId="000000CA">
      <w:pPr>
        <w:numPr>
          <w:ilvl w:val="0"/>
          <w:numId w:val="8"/>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Gestion des quotas d'API Ariba</w:t>
      </w:r>
      <w:r w:rsidDel="00000000" w:rsidR="00000000" w:rsidRPr="00000000">
        <w:rPr>
          <w:rFonts w:ascii="Poppins" w:cs="Poppins" w:eastAsia="Poppins" w:hAnsi="Poppins"/>
          <w:color w:val="2b2b2b"/>
          <w:sz w:val="20"/>
          <w:szCs w:val="20"/>
          <w:rtl w:val="0"/>
        </w:rPr>
        <w:t xml:space="preserve"> : lecture des compteurs retournés par la plateforme, temporisation avec reprise progressive, lissage du traitement initial (échantillon PoC, puis reprise éventuelle de l'historique).</w:t>
      </w:r>
    </w:p>
    <w:p w:rsidR="00000000" w:rsidDel="00000000" w:rsidP="00000000" w:rsidRDefault="00000000" w:rsidRPr="00000000" w14:paraId="000000CB">
      <w:pPr>
        <w:numPr>
          <w:ilvl w:val="0"/>
          <w:numId w:val="8"/>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Détection par interrogation périodique</w:t>
      </w:r>
      <w:r w:rsidDel="00000000" w:rsidR="00000000" w:rsidRPr="00000000">
        <w:rPr>
          <w:rFonts w:ascii="Poppins" w:cs="Poppins" w:eastAsia="Poppins" w:hAnsi="Poppins"/>
          <w:color w:val="2b2b2b"/>
          <w:sz w:val="20"/>
          <w:szCs w:val="20"/>
          <w:rtl w:val="0"/>
        </w:rPr>
        <w:t xml:space="preserve">, à fréquence paramétrable - l'approche standard et documentée par SAP pour ce scénario ; une architecture événementielle pourra être réévaluée en phase 2 si la volumétrie le justifie.</w:t>
      </w:r>
    </w:p>
    <w:p w:rsidR="00000000" w:rsidDel="00000000" w:rsidP="00000000" w:rsidRDefault="00000000" w:rsidRPr="00000000" w14:paraId="000000CC">
      <w:pPr>
        <w:numPr>
          <w:ilvl w:val="0"/>
          <w:numId w:val="8"/>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Reprise sur incident</w:t>
      </w:r>
      <w:r w:rsidDel="00000000" w:rsidR="00000000" w:rsidRPr="00000000">
        <w:rPr>
          <w:rFonts w:ascii="Poppins" w:cs="Poppins" w:eastAsia="Poppins" w:hAnsi="Poppins"/>
          <w:color w:val="2b2b2b"/>
          <w:sz w:val="20"/>
          <w:szCs w:val="20"/>
          <w:rtl w:val="0"/>
        </w:rPr>
        <w:t xml:space="preserve"> : les attestations déposées pendant une indisponibilité sont mises en file et rattrapées automatiquement, sans intervention manuelle.</w:t>
      </w:r>
    </w:p>
    <w:p w:rsidR="00000000" w:rsidDel="00000000" w:rsidP="00000000" w:rsidRDefault="00000000" w:rsidRPr="00000000" w14:paraId="000000CD">
      <w:pPr>
        <w:numPr>
          <w:ilvl w:val="0"/>
          <w:numId w:val="8"/>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Traçabilité</w:t>
      </w:r>
      <w:r w:rsidDel="00000000" w:rsidR="00000000" w:rsidRPr="00000000">
        <w:rPr>
          <w:rFonts w:ascii="Poppins" w:cs="Poppins" w:eastAsia="Poppins" w:hAnsi="Poppins"/>
          <w:color w:val="2b2b2b"/>
          <w:sz w:val="20"/>
          <w:szCs w:val="20"/>
          <w:rtl w:val="0"/>
        </w:rPr>
        <w:t xml:space="preserve"> : chaque échange avec Ariba est journalisé (horodatage, identifiants de document, statut).</w:t>
      </w:r>
    </w:p>
    <w:p w:rsidR="00000000" w:rsidDel="00000000" w:rsidP="00000000" w:rsidRDefault="00000000" w:rsidRPr="00000000" w14:paraId="000000CE">
      <w:pPr>
        <w:numPr>
          <w:ilvl w:val="0"/>
          <w:numId w:val="8"/>
        </w:numPr>
        <w:spacing w:after="75" w:before="0" w:lineRule="auto"/>
        <w:ind w:left="720" w:hanging="360"/>
        <w:rPr>
          <w:rFonts w:ascii="Poppins" w:cs="Poppins" w:eastAsia="Poppins" w:hAnsi="Poppins"/>
          <w:color w:val="2b2b2b"/>
          <w:sz w:val="20"/>
          <w:szCs w:val="20"/>
          <w:u w:val="none"/>
        </w:rPr>
      </w:pPr>
      <w:r w:rsidDel="00000000" w:rsidR="00000000" w:rsidRPr="00000000">
        <w:rPr>
          <w:rFonts w:ascii="Roboto" w:cs="Roboto" w:eastAsia="Roboto" w:hAnsi="Roboto"/>
          <w:color w:val="444746"/>
          <w:sz w:val="21"/>
          <w:szCs w:val="21"/>
          <w:rtl w:val="0"/>
        </w:rPr>
        <w:t xml:space="preserve">Pic saisonnier. Q34/Q37 : pic de renouvellements en janvier/février. Le mentionner ici ("absorbé par le cron et le rattrapage") montrerait que le dimensionnement a été pensé sur la réalité Forvia.</w:t>
      </w:r>
      <w:r w:rsidDel="00000000" w:rsidR="00000000" w:rsidRPr="00000000">
        <w:rPr>
          <w:rtl w:val="0"/>
        </w:rPr>
      </w:r>
    </w:p>
    <w:p w:rsidR="00000000" w:rsidDel="00000000" w:rsidP="00000000" w:rsidRDefault="00000000" w:rsidRPr="00000000" w14:paraId="000000CF">
      <w:pPr>
        <w:pStyle w:val="Heading2"/>
        <w:rPr/>
      </w:pPr>
      <w:bookmarkStart w:colFirst="0" w:colLast="0" w:name="_6zpgb4ounc8" w:id="16"/>
      <w:bookmarkEnd w:id="16"/>
      <w:r w:rsidDel="00000000" w:rsidR="00000000" w:rsidRPr="00000000">
        <w:rPr>
          <w:rtl w:val="0"/>
        </w:rPr>
        <w:t xml:space="preserve">2.4 Prérequis côté Forvia</w:t>
      </w:r>
    </w:p>
    <w:p w:rsidR="00000000" w:rsidDel="00000000" w:rsidP="00000000" w:rsidRDefault="00000000" w:rsidRPr="00000000" w14:paraId="000000D0">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Trois prérequis conditionnent le démarrage - nous proposons de les engager dès la contractualisation, la validation SAP pouvant prendre de quelques jours à quelques semaines :</w:t>
      </w:r>
    </w:p>
    <w:p w:rsidR="00000000" w:rsidDel="00000000" w:rsidP="00000000" w:rsidRDefault="00000000" w:rsidRPr="00000000" w14:paraId="000000D1">
      <w:pPr>
        <w:numPr>
          <w:ilvl w:val="0"/>
          <w:numId w:val="9"/>
        </w:numPr>
        <w:spacing w:after="75" w:before="28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Création de l'application dans l'</w:t>
      </w:r>
      <w:r w:rsidDel="00000000" w:rsidR="00000000" w:rsidRPr="00000000">
        <w:rPr>
          <w:rFonts w:ascii="Poppins" w:cs="Poppins" w:eastAsia="Poppins" w:hAnsi="Poppins"/>
          <w:color w:val="141414"/>
          <w:sz w:val="20"/>
          <w:szCs w:val="20"/>
          <w:rtl w:val="0"/>
        </w:rPr>
        <w:t xml:space="preserve">Ariba Developer Portal</w:t>
      </w:r>
      <w:r w:rsidDel="00000000" w:rsidR="00000000" w:rsidRPr="00000000">
        <w:rPr>
          <w:rFonts w:ascii="Poppins" w:cs="Poppins" w:eastAsia="Poppins" w:hAnsi="Poppins"/>
          <w:color w:val="2b2b2b"/>
          <w:sz w:val="20"/>
          <w:szCs w:val="20"/>
          <w:rtl w:val="0"/>
        </w:rPr>
        <w:t xml:space="preserve"> et demande d'accès API validée par un Organization Admin Forvia.</w:t>
      </w:r>
    </w:p>
    <w:p w:rsidR="00000000" w:rsidDel="00000000" w:rsidP="00000000" w:rsidRDefault="00000000" w:rsidRPr="00000000" w14:paraId="000000D2">
      <w:pPr>
        <w:numPr>
          <w:ilvl w:val="0"/>
          <w:numId w:val="9"/>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Transmission des identifiants : application key, OAuth client ID / secret, realm IDs (test et production).</w:t>
      </w:r>
    </w:p>
    <w:p w:rsidR="00000000" w:rsidDel="00000000" w:rsidP="00000000" w:rsidRDefault="00000000" w:rsidRPr="00000000" w14:paraId="000000D3">
      <w:pPr>
        <w:numPr>
          <w:ilvl w:val="0"/>
          <w:numId w:val="9"/>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Mise à disposition d'un </w:t>
      </w:r>
      <w:r w:rsidDel="00000000" w:rsidR="00000000" w:rsidRPr="00000000">
        <w:rPr>
          <w:rFonts w:ascii="Poppins" w:cs="Poppins" w:eastAsia="Poppins" w:hAnsi="Poppins"/>
          <w:color w:val="141414"/>
          <w:sz w:val="20"/>
          <w:szCs w:val="20"/>
          <w:rtl w:val="0"/>
        </w:rPr>
        <w:t xml:space="preserve">realm de test</w:t>
      </w:r>
      <w:r w:rsidDel="00000000" w:rsidR="00000000" w:rsidRPr="00000000">
        <w:rPr>
          <w:rFonts w:ascii="Poppins" w:cs="Poppins" w:eastAsia="Poppins" w:hAnsi="Poppins"/>
          <w:color w:val="2b2b2b"/>
          <w:sz w:val="20"/>
          <w:szCs w:val="20"/>
          <w:rtl w:val="0"/>
        </w:rPr>
        <w:t xml:space="preserve"> distinct de la production pour le PoC.</w:t>
      </w:r>
    </w:p>
    <w:p w:rsidR="00000000" w:rsidDel="00000000" w:rsidP="00000000" w:rsidRDefault="00000000" w:rsidRPr="00000000" w14:paraId="000000D4">
      <w:pPr>
        <w:numPr>
          <w:ilvl w:val="0"/>
          <w:numId w:val="9"/>
        </w:numPr>
        <w:spacing w:after="75" w:before="0" w:lineRule="auto"/>
        <w:ind w:left="720" w:hanging="360"/>
        <w:rPr>
          <w:rFonts w:ascii="Poppins" w:cs="Poppins" w:eastAsia="Poppins" w:hAnsi="Poppins"/>
          <w:color w:val="2b2b2b"/>
          <w:sz w:val="20"/>
          <w:szCs w:val="20"/>
          <w:u w:val="none"/>
        </w:rPr>
      </w:pPr>
      <w:r w:rsidDel="00000000" w:rsidR="00000000" w:rsidRPr="00000000">
        <w:rPr>
          <w:rFonts w:ascii="Poppins" w:cs="Poppins" w:eastAsia="Poppins" w:hAnsi="Poppins"/>
          <w:color w:val="2b2b2b"/>
          <w:sz w:val="20"/>
          <w:szCs w:val="20"/>
          <w:rtl w:val="0"/>
        </w:rPr>
        <w:t xml:space="preserve">C</w:t>
      </w:r>
      <w:r w:rsidDel="00000000" w:rsidR="00000000" w:rsidRPr="00000000">
        <w:rPr>
          <w:rFonts w:ascii="Poppins" w:cs="Poppins" w:eastAsia="Poppins" w:hAnsi="Poppins"/>
          <w:color w:val="2b2b2b"/>
          <w:sz w:val="20"/>
          <w:szCs w:val="20"/>
          <w:rtl w:val="0"/>
        </w:rPr>
        <w:t xml:space="preserve">réation des champs de questionnaire personnalisés pour la réinjection (Q35) et communication des quotas d'API dès l'ouverture des accès (Q34)</w:t>
      </w:r>
      <w:r w:rsidDel="00000000" w:rsidR="00000000" w:rsidRPr="00000000">
        <w:rPr>
          <w:rtl w:val="0"/>
        </w:rPr>
      </w:r>
    </w:p>
    <w:p w:rsidR="00000000" w:rsidDel="00000000" w:rsidP="00000000" w:rsidRDefault="00000000" w:rsidRPr="00000000" w14:paraId="000000D5">
      <w:pPr>
        <w:rPr>
          <w:rFonts w:ascii="Poppins" w:cs="Poppins" w:eastAsia="Poppins" w:hAnsi="Poppins"/>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b w:val="0"/>
          <w:bCs w:val="0"/>
          <w:color w:val="777777"/>
          <w:sz w:val="20"/>
          <w:szCs w:val="20"/>
        </w:rPr>
      </w:pPr>
      <w:bookmarkStart w:colFirst="0" w:colLast="0" w:name="_z01wq97ct7c" w:id="17"/>
      <w:bookmarkEnd w:id="17"/>
      <w:r w:rsidDel="00000000" w:rsidR="00000000" w:rsidRPr="00000000">
        <w:rPr>
          <w:sz w:val="41"/>
          <w:szCs w:val="41"/>
          <w:rtl w:val="0"/>
        </w:rPr>
        <w:t xml:space="preserve">Moteur d'IA et hébergement souverain</w:t>
      </w:r>
      <w:r w:rsidDel="00000000" w:rsidR="00000000" w:rsidRPr="00000000">
        <w:rPr>
          <w:rtl w:val="0"/>
        </w:rPr>
        <w:br w:type="textWrapping"/>
      </w:r>
      <w:r w:rsidDel="00000000" w:rsidR="00000000" w:rsidRPr="00000000">
        <w:rPr>
          <w:color w:val="777777"/>
          <w:sz w:val="20"/>
          <w:szCs w:val="20"/>
          <w:rtl w:val="0"/>
        </w:rPr>
        <w:t xml:space="preserve">Options de modèles et scénarios d'hébergement</w:t>
      </w:r>
      <w:r w:rsidDel="00000000" w:rsidR="00000000" w:rsidRPr="00000000">
        <w:rPr>
          <w:rtl w:val="0"/>
        </w:rPr>
      </w:r>
    </w:p>
    <w:p w:rsidR="00000000" w:rsidDel="00000000" w:rsidP="00000000" w:rsidRDefault="00000000" w:rsidRPr="00000000" w14:paraId="000000D7">
      <w:pPr>
        <w:pStyle w:val="Heading2"/>
        <w:rPr/>
      </w:pPr>
      <w:bookmarkStart w:colFirst="0" w:colLast="0" w:name="_ohyz1ipvlyei" w:id="18"/>
      <w:bookmarkEnd w:id="18"/>
      <w:r w:rsidDel="00000000" w:rsidR="00000000" w:rsidRPr="00000000">
        <w:rPr>
          <w:rtl w:val="0"/>
        </w:rPr>
        <w:t xml:space="preserve">3.1 Notre lecture de vos exigences</w:t>
      </w:r>
    </w:p>
    <w:p w:rsidR="00000000" w:rsidDel="00000000" w:rsidP="00000000" w:rsidRDefault="00000000" w:rsidRPr="00000000" w14:paraId="000000D8">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 cahier des charges demande un LLM open source hébergé sur des serveurs situés en France (§4.4). Nous retenons cette exigence au sens strict : modèles sous licence réellement permissive (Apache 2.0), déployés sur une infrastructure française, sans transmission de données à l'éditeur du modèle et sans utilisation de vos données pour entraîner des modèles mutualisés.</w:t>
      </w:r>
    </w:p>
    <w:p w:rsidR="00000000" w:rsidDel="00000000" w:rsidP="00000000" w:rsidRDefault="00000000" w:rsidRPr="00000000" w14:paraId="000000D9">
      <w:pPr>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Pour des attestations d'assurance — tableaux de garanties, montants, mises en page hétérogènes, scans — nous privilégions un modèle vision-langage (VLM) lisant directement le document, plutôt qu'une chaîne OCR + modèle texte qui perd la structure des tableaux. Ce choix sera validé objectivement sur votre échantillon lors du PoC.</w:t>
      </w:r>
    </w:p>
    <w:p w:rsidR="00000000" w:rsidDel="00000000" w:rsidP="00000000" w:rsidRDefault="00000000" w:rsidRPr="00000000" w14:paraId="000000DA">
      <w:pPr>
        <w:rPr/>
      </w:pPr>
      <w:r w:rsidDel="00000000" w:rsidR="00000000" w:rsidRPr="00000000">
        <w:rPr>
          <w:rFonts w:ascii="Poppins" w:cs="Poppins" w:eastAsia="Poppins" w:hAnsi="Poppins"/>
          <w:color w:val="2b2b2b"/>
          <w:sz w:val="20"/>
          <w:szCs w:val="20"/>
          <w:rtl w:val="0"/>
        </w:rPr>
        <w:t xml:space="preserve">Trajectoire d'hébergement proposée : endpoint managé tiers pour le PoC, avec engagement contractuel de non-rétention des documents et des données par le fournisseur d'inférence ; GPU dédié pour la production, avec un contrôle total de l'infrastructure.</w:t>
      </w:r>
      <w:r w:rsidDel="00000000" w:rsidR="00000000" w:rsidRPr="00000000">
        <w:rPr>
          <w:rtl w:val="0"/>
        </w:rPr>
      </w:r>
    </w:p>
    <w:p w:rsidR="00000000" w:rsidDel="00000000" w:rsidP="00000000" w:rsidRDefault="00000000" w:rsidRPr="00000000" w14:paraId="000000DB">
      <w:pPr>
        <w:pStyle w:val="Heading2"/>
        <w:rPr/>
      </w:pPr>
      <w:bookmarkStart w:colFirst="0" w:colLast="0" w:name="_daxny5u6r5pw" w:id="19"/>
      <w:bookmarkEnd w:id="19"/>
      <w:r w:rsidDel="00000000" w:rsidR="00000000" w:rsidRPr="00000000">
        <w:rPr>
          <w:rtl w:val="0"/>
        </w:rPr>
        <w:t xml:space="preserve">3.2 Modèles retenus</w:t>
      </w:r>
    </w:p>
    <w:tbl>
      <w:tblPr>
        <w:tblStyle w:val="Table6"/>
        <w:tblW w:w="9072.0" w:type="dxa"/>
        <w:jc w:val="left"/>
        <w:tblLayout w:type="fixed"/>
        <w:tblLook w:val="0400"/>
      </w:tblPr>
      <w:tblGrid>
        <w:gridCol w:w="2008"/>
        <w:gridCol w:w="1279"/>
        <w:gridCol w:w="1190"/>
        <w:gridCol w:w="4595"/>
        <w:tblGridChange w:id="0">
          <w:tblGrid>
            <w:gridCol w:w="2008"/>
            <w:gridCol w:w="1279"/>
            <w:gridCol w:w="1190"/>
            <w:gridCol w:w="4595"/>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DC">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Modèle</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DD">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Type</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DE">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Licence</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DF">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Atouts pour ce projet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0">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Mistral Small 3</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LLM texte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2">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Apache 2.0</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3">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Excellence en français, éditeur français, empreinte GPU maîtrisée, sorties structurées fiables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Pixtral 12B</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VLM (Mistral)</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Apache 2.0</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7">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Vision + multilingue européen, hébergeable en France, adapté à la lecture de documents</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8">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Qwen3-VL 32B</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9">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VLM</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A">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Apache 2.0</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B">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Référence actuelle de l'extraction documentaire open source : lecture de tableaux et de scans dégradés, OCR 32 langues. Poids ouverts, exécution intégralement sur notre infrastructure en France - aucun flux vers l'éditeur</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C">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Mistral Large 3</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D">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LLM texte</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E">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Apache 2.0</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EF">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Meilleur multilingue européen du marché, si une capacité de raisonnement supérieure s'avère nécessaire. </w:t>
            </w:r>
            <w:r w:rsidDel="00000000" w:rsidR="00000000" w:rsidRPr="00000000">
              <w:rPr>
                <w:rFonts w:ascii="Roboto" w:cs="Roboto" w:eastAsia="Roboto" w:hAnsi="Roboto"/>
                <w:color w:val="444746"/>
                <w:sz w:val="21"/>
                <w:szCs w:val="21"/>
                <w:rtl w:val="0"/>
              </w:rPr>
              <w:t xml:space="preserve">Modèle MoE de très grande taille : l'auto-héberger sur GPU dédié en France n'a pas le même coût que les autres candidats. </w:t>
            </w:r>
            <w:r w:rsidDel="00000000" w:rsidR="00000000" w:rsidRPr="00000000">
              <w:rPr>
                <w:rtl w:val="0"/>
              </w:rPr>
            </w:r>
          </w:p>
        </w:tc>
      </w:tr>
    </w:tbl>
    <w:p w:rsidR="00000000" w:rsidDel="00000000" w:rsidP="00000000" w:rsidRDefault="00000000" w:rsidRPr="00000000" w14:paraId="000000F0">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 choix final est un </w:t>
      </w:r>
      <w:r w:rsidDel="00000000" w:rsidR="00000000" w:rsidRPr="00000000">
        <w:rPr>
          <w:rFonts w:ascii="Poppins" w:cs="Poppins" w:eastAsia="Poppins" w:hAnsi="Poppins"/>
          <w:color w:val="141414"/>
          <w:sz w:val="20"/>
          <w:szCs w:val="20"/>
          <w:rtl w:val="0"/>
        </w:rPr>
        <w:t xml:space="preserve">résultat du PoC</w:t>
      </w:r>
      <w:r w:rsidDel="00000000" w:rsidR="00000000" w:rsidRPr="00000000">
        <w:rPr>
          <w:rFonts w:ascii="Poppins" w:cs="Poppins" w:eastAsia="Poppins" w:hAnsi="Poppins"/>
          <w:color w:val="2b2b2b"/>
          <w:sz w:val="20"/>
          <w:szCs w:val="20"/>
          <w:rtl w:val="0"/>
        </w:rPr>
        <w:t xml:space="preserve">, pas un préalable : les candidats sont évalués sur votre échantillon annoté, avec le harnais d'évaluation, champ par champ et langue par langue.</w:t>
      </w:r>
    </w:p>
    <w:p w:rsidR="00000000" w:rsidDel="00000000" w:rsidP="00000000" w:rsidRDefault="00000000" w:rsidRPr="00000000" w14:paraId="000000F1">
      <w:pPr>
        <w:pStyle w:val="Heading2"/>
        <w:rPr/>
      </w:pPr>
      <w:bookmarkStart w:colFirst="0" w:colLast="0" w:name="_3l0ieeelbewy" w:id="20"/>
      <w:bookmarkEnd w:id="20"/>
      <w:r w:rsidDel="00000000" w:rsidR="00000000" w:rsidRPr="00000000">
        <w:rPr>
          <w:rtl w:val="0"/>
        </w:rPr>
        <w:t xml:space="preserve">3.3 Hébergement en France</w:t>
      </w:r>
    </w:p>
    <w:tbl>
      <w:tblPr>
        <w:tblStyle w:val="Table7"/>
        <w:tblW w:w="9072.0" w:type="dxa"/>
        <w:jc w:val="left"/>
        <w:tblLayout w:type="fixed"/>
        <w:tblLook w:val="0400"/>
      </w:tblPr>
      <w:tblGrid>
        <w:gridCol w:w="3099"/>
        <w:gridCol w:w="5973"/>
        <w:tblGridChange w:id="0">
          <w:tblGrid>
            <w:gridCol w:w="3099"/>
            <w:gridCol w:w="5973"/>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0F2">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Hébergeur</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0F3">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Positionnement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Mistral - La Plateforme</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Inférence managée en UE (Suède) sur les modèles Mistral, SLA, RGPD</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Scaleway</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7">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Endpoints managés (Mistral, Qwen, Pixtral) ou GPU dédiés pour auto-hébergement - l'option la plus flexible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8">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OVHcloud</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9">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Endpoints managés + GPU, offres certifiées SecNumCloud (</w:t>
            </w:r>
            <w:r w:rsidDel="00000000" w:rsidR="00000000" w:rsidRPr="00000000">
              <w:rPr>
                <w:rFonts w:ascii="Roboto" w:cs="Roboto" w:eastAsia="Roboto" w:hAnsi="Roboto"/>
                <w:color w:val="444746"/>
                <w:sz w:val="21"/>
                <w:szCs w:val="21"/>
                <w:rtl w:val="0"/>
              </w:rPr>
              <w:t xml:space="preserve">La qualification couvre certaines offres d'OVHcloud, pas nécessairement les AI Endpoints.)</w:t>
            </w:r>
            <w:r w:rsidDel="00000000" w:rsidR="00000000" w:rsidRPr="00000000">
              <w:rPr>
                <w:rtl w:val="0"/>
              </w:rPr>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A">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Outscale / NumSpot</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0FB">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Clouds souverains SecNumCloud, si ce niveau de qualification est requis</w:t>
            </w:r>
          </w:p>
        </w:tc>
      </w:tr>
    </w:tbl>
    <w:p w:rsidR="00000000" w:rsidDel="00000000" w:rsidP="00000000" w:rsidRDefault="00000000" w:rsidRPr="00000000" w14:paraId="000000FC">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Trois modes de déploiement, du plus rapide au plus contrôlé :</w:t>
      </w:r>
    </w:p>
    <w:p w:rsidR="00000000" w:rsidDel="00000000" w:rsidP="00000000" w:rsidRDefault="00000000" w:rsidRPr="00000000" w14:paraId="000000FD">
      <w:pPr>
        <w:numPr>
          <w:ilvl w:val="0"/>
          <w:numId w:val="10"/>
        </w:numPr>
        <w:spacing w:after="75" w:before="28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Endpoint managé en France</w:t>
      </w:r>
      <w:r w:rsidDel="00000000" w:rsidR="00000000" w:rsidRPr="00000000">
        <w:rPr>
          <w:rFonts w:ascii="Poppins" w:cs="Poppins" w:eastAsia="Poppins" w:hAnsi="Poppins"/>
          <w:color w:val="2b2b2b"/>
          <w:sz w:val="20"/>
          <w:szCs w:val="20"/>
          <w:rtl w:val="0"/>
        </w:rPr>
        <w:t xml:space="preserve"> (Mistral, Scaleway, OVHcloud) - mise en place en quelques jours, proposé pour le PoC.</w:t>
      </w:r>
    </w:p>
    <w:p w:rsidR="00000000" w:rsidDel="00000000" w:rsidP="00000000" w:rsidRDefault="00000000" w:rsidRPr="00000000" w14:paraId="000000FE">
      <w:pPr>
        <w:numPr>
          <w:ilvl w:val="0"/>
          <w:numId w:val="10"/>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GPU dédié avec déploiement par nos soins</w:t>
      </w:r>
      <w:r w:rsidDel="00000000" w:rsidR="00000000" w:rsidRPr="00000000">
        <w:rPr>
          <w:rFonts w:ascii="Poppins" w:cs="Poppins" w:eastAsia="Poppins" w:hAnsi="Poppins"/>
          <w:color w:val="2b2b2b"/>
          <w:sz w:val="20"/>
          <w:szCs w:val="20"/>
          <w:rtl w:val="0"/>
        </w:rPr>
        <w:t xml:space="preserve"> - contrôle total, adapté au volume de production (5 000 à 8 000 attestations/an).</w:t>
      </w:r>
    </w:p>
    <w:p w:rsidR="00000000" w:rsidDel="00000000" w:rsidP="00000000" w:rsidRDefault="00000000" w:rsidRPr="00000000" w14:paraId="000000FF">
      <w:pPr>
        <w:numPr>
          <w:ilvl w:val="0"/>
          <w:numId w:val="10"/>
        </w:numPr>
        <w:spacing w:after="75" w:before="0" w:lineRule="auto"/>
        <w:ind w:left="720" w:hanging="360"/>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On-premise chez Forvia</w:t>
      </w:r>
      <w:r w:rsidDel="00000000" w:rsidR="00000000" w:rsidRPr="00000000">
        <w:rPr>
          <w:rFonts w:ascii="Poppins" w:cs="Poppins" w:eastAsia="Poppins" w:hAnsi="Poppins"/>
          <w:color w:val="2b2b2b"/>
          <w:sz w:val="20"/>
          <w:szCs w:val="20"/>
          <w:rtl w:val="0"/>
        </w:rPr>
        <w:t xml:space="preserve"> - possible si une sensibilité maximale le justifie.</w:t>
      </w:r>
    </w:p>
    <w:p w:rsidR="00000000" w:rsidDel="00000000" w:rsidP="00000000" w:rsidRDefault="00000000" w:rsidRPr="00000000" w14:paraId="00000100">
      <w:pPr>
        <w:pStyle w:val="Heading1"/>
        <w:rPr>
          <w:sz w:val="41"/>
          <w:szCs w:val="41"/>
        </w:rPr>
      </w:pPr>
      <w:bookmarkStart w:colFirst="0" w:colLast="0" w:name="_qgymwhgxyudh" w:id="21"/>
      <w:bookmarkEnd w:id="21"/>
      <w:r w:rsidDel="00000000" w:rsidR="00000000" w:rsidRPr="00000000">
        <w:rPr>
          <w:rtl w:val="0"/>
        </w:rPr>
      </w:r>
    </w:p>
    <w:p w:rsidR="00000000" w:rsidDel="00000000" w:rsidP="00000000" w:rsidRDefault="00000000" w:rsidRPr="00000000" w14:paraId="00000101">
      <w:pPr>
        <w:pStyle w:val="Heading1"/>
        <w:rPr>
          <w:b w:val="0"/>
          <w:bCs w:val="0"/>
          <w:color w:val="777777"/>
          <w:sz w:val="20"/>
          <w:szCs w:val="20"/>
        </w:rPr>
      </w:pPr>
      <w:r w:rsidDel="00000000" w:rsidR="00000000" w:rsidRPr="00000000">
        <w:rPr>
          <w:sz w:val="41"/>
          <w:szCs w:val="41"/>
          <w:rtl w:val="0"/>
        </w:rPr>
        <w:t xml:space="preserve">Engagements sur les exigences du cahier des charges</w:t>
      </w:r>
      <w:r w:rsidDel="00000000" w:rsidR="00000000" w:rsidRPr="00000000">
        <w:rPr>
          <w:color w:val="2b2b2b"/>
          <w:sz w:val="41"/>
          <w:szCs w:val="41"/>
          <w:rtl w:val="0"/>
        </w:rPr>
        <w:br w:type="textWrapping"/>
      </w:r>
      <w:r w:rsidDel="00000000" w:rsidR="00000000" w:rsidRPr="00000000">
        <w:rPr>
          <w:color w:val="777777"/>
          <w:sz w:val="20"/>
          <w:szCs w:val="20"/>
          <w:rtl w:val="0"/>
        </w:rPr>
        <w:t xml:space="preserve">Capacités d'analyse documentaire, performance et sécurité</w:t>
      </w:r>
      <w:r w:rsidDel="00000000" w:rsidR="00000000" w:rsidRPr="00000000">
        <w:rPr>
          <w:rtl w:val="0"/>
        </w:rPr>
      </w:r>
    </w:p>
    <w:p w:rsidR="00000000" w:rsidDel="00000000" w:rsidP="00000000" w:rsidRDefault="00000000" w:rsidRPr="00000000" w14:paraId="00000102">
      <w:pPr>
        <w:pStyle w:val="Heading2"/>
        <w:rPr/>
      </w:pPr>
      <w:bookmarkStart w:colFirst="0" w:colLast="0" w:name="_3ptiay9fufa4" w:id="22"/>
      <w:bookmarkEnd w:id="22"/>
      <w:r w:rsidDel="00000000" w:rsidR="00000000" w:rsidRPr="00000000">
        <w:rPr>
          <w:rtl w:val="0"/>
        </w:rPr>
        <w:t xml:space="preserve">4.1 Capacités d'analyse documentaire</w:t>
      </w:r>
    </w:p>
    <w:p w:rsidR="00000000" w:rsidDel="00000000" w:rsidP="00000000" w:rsidRDefault="00000000" w:rsidRPr="00000000" w14:paraId="00000103">
      <w:pPr>
        <w:spacing w:after="120" w:before="330" w:lineRule="auto"/>
        <w:rPr>
          <w:rFonts w:ascii="Poppins" w:cs="Poppins" w:eastAsia="Poppins" w:hAnsi="Poppins"/>
          <w:b w:val="1"/>
          <w:bCs w:val="1"/>
          <w:color w:val="141414"/>
          <w:sz w:val="23"/>
          <w:szCs w:val="23"/>
        </w:rPr>
      </w:pPr>
      <w:r w:rsidDel="00000000" w:rsidR="00000000" w:rsidRPr="00000000">
        <w:rPr>
          <w:rFonts w:ascii="Poppins" w:cs="Poppins" w:eastAsia="Poppins" w:hAnsi="Poppins"/>
          <w:b w:val="1"/>
          <w:bCs w:val="1"/>
          <w:color w:val="141414"/>
          <w:sz w:val="23"/>
          <w:szCs w:val="23"/>
          <w:rtl w:val="0"/>
        </w:rPr>
        <w:t xml:space="preserve">Lecture du document</w:t>
      </w:r>
    </w:p>
    <w:p w:rsidR="00000000" w:rsidDel="00000000" w:rsidP="00000000" w:rsidRDefault="00000000" w:rsidRPr="00000000" w14:paraId="00000104">
      <w:pPr>
        <w:numPr>
          <w:ilvl w:val="0"/>
          <w:numId w:val="11"/>
        </w:numPr>
        <w:spacing w:after="75" w:before="280" w:lineRule="auto"/>
        <w:ind w:left="720" w:hanging="360"/>
        <w:rPr>
          <w:color w:val="2b2b2b"/>
        </w:rPr>
      </w:pPr>
      <w:r w:rsidDel="00000000" w:rsidR="00000000" w:rsidRPr="00000000">
        <w:rPr>
          <w:rFonts w:ascii="Poppins" w:cs="Poppins" w:eastAsia="Poppins" w:hAnsi="Poppins"/>
          <w:color w:val="141414"/>
          <w:sz w:val="20"/>
          <w:szCs w:val="20"/>
          <w:rtl w:val="0"/>
        </w:rPr>
        <w:t xml:space="preserve">PDF natifs et scannés</w:t>
      </w:r>
      <w:r w:rsidDel="00000000" w:rsidR="00000000" w:rsidRPr="00000000">
        <w:rPr>
          <w:rFonts w:ascii="Poppins" w:cs="Poppins" w:eastAsia="Poppins" w:hAnsi="Poppins"/>
          <w:color w:val="2b2b2b"/>
          <w:sz w:val="20"/>
          <w:szCs w:val="20"/>
          <w:rtl w:val="0"/>
        </w:rPr>
        <w:t xml:space="preserve"> : les scans passent par une étape de préparation (redressement, nettoyage) avant lecture.</w:t>
      </w:r>
    </w:p>
    <w:p w:rsidR="00000000" w:rsidDel="00000000" w:rsidP="00000000" w:rsidRDefault="00000000" w:rsidRPr="00000000" w14:paraId="00000105">
      <w:pPr>
        <w:numPr>
          <w:ilvl w:val="0"/>
          <w:numId w:val="11"/>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Modèle vision-langage</w:t>
      </w:r>
      <w:r w:rsidDel="00000000" w:rsidR="00000000" w:rsidRPr="00000000">
        <w:rPr>
          <w:rFonts w:ascii="Poppins" w:cs="Poppins" w:eastAsia="Poppins" w:hAnsi="Poppins"/>
          <w:color w:val="2b2b2b"/>
          <w:sz w:val="20"/>
          <w:szCs w:val="20"/>
          <w:rtl w:val="0"/>
        </w:rPr>
        <w:t xml:space="preserve"> : lecture directe de l'image du document et de sa mise en page - tableaux de garanties, colonnes, cachets, mentions manuscrites.</w:t>
      </w:r>
    </w:p>
    <w:p w:rsidR="00000000" w:rsidDel="00000000" w:rsidP="00000000" w:rsidRDefault="00000000" w:rsidRPr="00000000" w14:paraId="00000106">
      <w:pPr>
        <w:numPr>
          <w:ilvl w:val="0"/>
          <w:numId w:val="11"/>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Multilingue sans traduction préalable</w:t>
      </w:r>
      <w:r w:rsidDel="00000000" w:rsidR="00000000" w:rsidRPr="00000000">
        <w:rPr>
          <w:rFonts w:ascii="Poppins" w:cs="Poppins" w:eastAsia="Poppins" w:hAnsi="Poppins"/>
          <w:color w:val="2b2b2b"/>
          <w:sz w:val="20"/>
          <w:szCs w:val="20"/>
          <w:rtl w:val="0"/>
        </w:rPr>
        <w:t xml:space="preserve"> : EN, FR, DE, ES, IT, PT a minima, extensible par configuration ; restitution standardisée en anglais quelle que soit la langue source.</w:t>
      </w:r>
    </w:p>
    <w:p w:rsidR="00000000" w:rsidDel="00000000" w:rsidP="00000000" w:rsidRDefault="00000000" w:rsidRPr="00000000" w14:paraId="00000107">
      <w:pPr>
        <w:spacing w:after="120" w:before="330" w:lineRule="auto"/>
        <w:rPr>
          <w:rFonts w:ascii="Poppins" w:cs="Poppins" w:eastAsia="Poppins" w:hAnsi="Poppins"/>
          <w:b w:val="1"/>
          <w:bCs w:val="1"/>
          <w:color w:val="141414"/>
          <w:sz w:val="23"/>
          <w:szCs w:val="23"/>
        </w:rPr>
      </w:pPr>
      <w:r w:rsidDel="00000000" w:rsidR="00000000" w:rsidRPr="00000000">
        <w:rPr>
          <w:rFonts w:ascii="Poppins" w:cs="Poppins" w:eastAsia="Poppins" w:hAnsi="Poppins"/>
          <w:b w:val="1"/>
          <w:bCs w:val="1"/>
          <w:color w:val="141414"/>
          <w:sz w:val="23"/>
          <w:szCs w:val="23"/>
          <w:rtl w:val="0"/>
        </w:rPr>
        <w:t xml:space="preserve">Extraction structurée</w:t>
      </w:r>
    </w:p>
    <w:p w:rsidR="00000000" w:rsidDel="00000000" w:rsidP="00000000" w:rsidRDefault="00000000" w:rsidRPr="00000000" w14:paraId="00000108">
      <w:pPr>
        <w:numPr>
          <w:ilvl w:val="0"/>
          <w:numId w:val="12"/>
        </w:numPr>
        <w:spacing w:after="75" w:before="280" w:lineRule="auto"/>
        <w:ind w:left="720" w:hanging="360"/>
        <w:rPr>
          <w:color w:val="2b2b2b"/>
        </w:rPr>
      </w:pPr>
      <w:r w:rsidDel="00000000" w:rsidR="00000000" w:rsidRPr="00000000">
        <w:rPr>
          <w:rFonts w:ascii="Poppins" w:cs="Poppins" w:eastAsia="Poppins" w:hAnsi="Poppins"/>
          <w:color w:val="2b2b2b"/>
          <w:sz w:val="20"/>
          <w:szCs w:val="20"/>
          <w:rtl w:val="0"/>
        </w:rPr>
        <w:t xml:space="preserve">Champs clés : assuré, assureur, numéro de police, période de validité, limites par garantie (RC générale, RC produits, rappel, préjudice financier pur), devise, base d'engagement, franchise, portée territoriale, exclusions,</w:t>
      </w:r>
      <w:r w:rsidDel="00000000" w:rsidR="00000000" w:rsidRPr="00000000">
        <w:rPr>
          <w:rFonts w:ascii="Poppins" w:cs="Poppins" w:eastAsia="Poppins" w:hAnsi="Poppins"/>
          <w:color w:val="2b2b2b"/>
          <w:sz w:val="20"/>
          <w:szCs w:val="20"/>
          <w:rtl w:val="0"/>
        </w:rPr>
        <w:t xml:space="preserve"> entité contractante (vs maison mère), présence tampon / signature / date, identité et habilitation de l'émetteur, coassureurs.</w:t>
      </w:r>
      <w:r w:rsidDel="00000000" w:rsidR="00000000" w:rsidRPr="00000000">
        <w:rPr>
          <w:rFonts w:ascii="Poppins" w:cs="Poppins" w:eastAsia="Poppins" w:hAnsi="Poppins"/>
          <w:color w:val="2b2b2b"/>
          <w:sz w:val="20"/>
          <w:szCs w:val="20"/>
          <w:rtl w:val="0"/>
        </w:rPr>
        <w:t xml:space="preserve">.</w:t>
      </w:r>
    </w:p>
    <w:p w:rsidR="00000000" w:rsidDel="00000000" w:rsidP="00000000" w:rsidRDefault="00000000" w:rsidRPr="00000000" w14:paraId="00000109">
      <w:pPr>
        <w:numPr>
          <w:ilvl w:val="0"/>
          <w:numId w:val="12"/>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Garanties non standard</w:t>
      </w:r>
      <w:r w:rsidDel="00000000" w:rsidR="00000000" w:rsidRPr="00000000">
        <w:rPr>
          <w:rFonts w:ascii="Poppins" w:cs="Poppins" w:eastAsia="Poppins" w:hAnsi="Poppins"/>
          <w:color w:val="2b2b2b"/>
          <w:sz w:val="20"/>
          <w:szCs w:val="20"/>
          <w:rtl w:val="0"/>
        </w:rPr>
        <w:t xml:space="preserve"> : détection des formulations atypiques via la taxonomie de garanties et ses synonymes multilingues, y compris les sous-limites.</w:t>
      </w:r>
    </w:p>
    <w:p w:rsidR="00000000" w:rsidDel="00000000" w:rsidP="00000000" w:rsidRDefault="00000000" w:rsidRPr="00000000" w14:paraId="0000010A">
      <w:pPr>
        <w:numPr>
          <w:ilvl w:val="0"/>
          <w:numId w:val="12"/>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Confiance par champ</w:t>
      </w:r>
      <w:r w:rsidDel="00000000" w:rsidR="00000000" w:rsidRPr="00000000">
        <w:rPr>
          <w:rFonts w:ascii="Poppins" w:cs="Poppins" w:eastAsia="Poppins" w:hAnsi="Poppins"/>
          <w:color w:val="2b2b2b"/>
          <w:sz w:val="20"/>
          <w:szCs w:val="20"/>
          <w:rtl w:val="0"/>
        </w:rPr>
        <w:t xml:space="preserve"> et </w:t>
      </w:r>
      <w:r w:rsidDel="00000000" w:rsidR="00000000" w:rsidRPr="00000000">
        <w:rPr>
          <w:rFonts w:ascii="Poppins" w:cs="Poppins" w:eastAsia="Poppins" w:hAnsi="Poppins"/>
          <w:color w:val="141414"/>
          <w:sz w:val="20"/>
          <w:szCs w:val="20"/>
          <w:rtl w:val="0"/>
        </w:rPr>
        <w:t xml:space="preserve">conversion EUR tracée</w:t>
      </w:r>
      <w:r w:rsidDel="00000000" w:rsidR="00000000" w:rsidRPr="00000000">
        <w:rPr>
          <w:rFonts w:ascii="Poppins" w:cs="Poppins" w:eastAsia="Poppins" w:hAnsi="Poppins"/>
          <w:color w:val="2b2b2b"/>
          <w:sz w:val="20"/>
          <w:szCs w:val="20"/>
          <w:rtl w:val="0"/>
        </w:rPr>
        <w:t xml:space="preserve"> (source et date du taux journalisées).</w:t>
      </w:r>
    </w:p>
    <w:p w:rsidR="00000000" w:rsidDel="00000000" w:rsidP="00000000" w:rsidRDefault="00000000" w:rsidRPr="00000000" w14:paraId="0000010B">
      <w:pPr>
        <w:rPr>
          <w:rFonts w:ascii="Poppins" w:cs="Poppins" w:eastAsia="Poppins" w:hAnsi="Poppins"/>
          <w:color w:val="2b2b2b"/>
          <w:sz w:val="20"/>
          <w:szCs w:val="20"/>
        </w:rPr>
      </w:pPr>
      <w:r w:rsidDel="00000000" w:rsidR="00000000" w:rsidRPr="00000000">
        <w:rPr>
          <w:rFonts w:ascii="Poppins" w:cs="Poppins" w:eastAsia="Poppins" w:hAnsi="Poppins"/>
          <w:color w:val="141414"/>
          <w:sz w:val="20"/>
          <w:szCs w:val="20"/>
          <w:rtl w:val="0"/>
        </w:rPr>
        <w:t xml:space="preserve">Garde-fou central</w:t>
      </w:r>
      <w:r w:rsidDel="00000000" w:rsidR="00000000" w:rsidRPr="00000000">
        <w:rPr>
          <w:rFonts w:ascii="Poppins" w:cs="Poppins" w:eastAsia="Poppins" w:hAnsi="Poppins"/>
          <w:color w:val="2b2b2b"/>
          <w:sz w:val="20"/>
          <w:szCs w:val="20"/>
          <w:rtl w:val="0"/>
        </w:rPr>
        <w:t xml:space="preserve"> : sous un seuil d'exactitude paramétrable, aucune conclusion de conformité n'est publiée - l'attestation part en revue humaine. Un scan illisible produit une demande de revue, jamais un verdict.</w:t>
      </w:r>
    </w:p>
    <w:p w:rsidR="00000000" w:rsidDel="00000000" w:rsidP="00000000" w:rsidRDefault="00000000" w:rsidRPr="00000000" w14:paraId="0000010C">
      <w:pPr>
        <w:rPr>
          <w:rFonts w:ascii="Poppins" w:cs="Poppins" w:eastAsia="Poppins" w:hAnsi="Poppins"/>
          <w:color w:val="2b2b2b"/>
          <w:sz w:val="20"/>
          <w:szCs w:val="20"/>
        </w:rPr>
      </w:pPr>
      <w:r w:rsidDel="00000000" w:rsidR="00000000" w:rsidRPr="00000000">
        <w:rPr>
          <w:rtl w:val="0"/>
        </w:rPr>
      </w:r>
    </w:p>
    <w:p w:rsidR="00000000" w:rsidDel="00000000" w:rsidP="00000000" w:rsidRDefault="00000000" w:rsidRPr="00000000" w14:paraId="0000010D">
      <w:pPr>
        <w:spacing w:before="340" w:lineRule="auto"/>
        <w:rPr/>
      </w:pPr>
      <w:r w:rsidDel="00000000" w:rsidR="00000000" w:rsidRPr="00000000">
        <w:rPr>
          <w:rFonts w:ascii="Poppins" w:cs="Poppins" w:eastAsia="Poppins" w:hAnsi="Poppins"/>
          <w:b w:val="1"/>
          <w:bCs w:val="1"/>
          <w:color w:val="141414"/>
          <w:sz w:val="23"/>
          <w:szCs w:val="23"/>
          <w:rtl w:val="0"/>
        </w:rPr>
        <w:t xml:space="preserve">Tableau de bord acheteurs &amp; Direction des Assurances</w:t>
      </w:r>
      <w:r w:rsidDel="00000000" w:rsidR="00000000" w:rsidRPr="00000000">
        <w:rPr>
          <w:rtl w:val="0"/>
        </w:rPr>
      </w:r>
    </w:p>
    <w:p w:rsidR="00000000" w:rsidDel="00000000" w:rsidP="00000000" w:rsidRDefault="00000000" w:rsidRPr="00000000" w14:paraId="0000010E">
      <w:pPr>
        <w:rPr>
          <w:rFonts w:ascii="Poppins" w:cs="Poppins" w:eastAsia="Poppins" w:hAnsi="Poppins"/>
          <w:color w:val="141414"/>
          <w:sz w:val="20"/>
          <w:szCs w:val="20"/>
        </w:rPr>
      </w:pPr>
      <w:r w:rsidDel="00000000" w:rsidR="00000000" w:rsidRPr="00000000">
        <w:rPr>
          <w:rFonts w:ascii="Poppins" w:cs="Poppins" w:eastAsia="Poppins" w:hAnsi="Poppins"/>
          <w:color w:val="141414"/>
          <w:sz w:val="20"/>
          <w:szCs w:val="20"/>
          <w:rtl w:val="0"/>
        </w:rPr>
        <w:t xml:space="preserve">La restitution est un point d'attention majeur de votre cahier des charges (§7) — c'est aussi le cœur de métier d'Arkan. Le tableau de bord couvre :</w:t>
      </w:r>
    </w:p>
    <w:p w:rsidR="00000000" w:rsidDel="00000000" w:rsidP="00000000" w:rsidRDefault="00000000" w:rsidRPr="00000000" w14:paraId="0000010F">
      <w:pPr>
        <w:numPr>
          <w:ilvl w:val="0"/>
          <w:numId w:val="1"/>
        </w:numPr>
        <w:ind w:left="720" w:hanging="360"/>
      </w:pPr>
      <w:r w:rsidDel="00000000" w:rsidR="00000000" w:rsidRPr="00000000">
        <w:rPr>
          <w:rFonts w:ascii="Poppins" w:cs="Poppins" w:eastAsia="Poppins" w:hAnsi="Poppins"/>
          <w:color w:val="141414"/>
          <w:sz w:val="20"/>
          <w:szCs w:val="20"/>
          <w:rtl w:val="0"/>
        </w:rPr>
        <w:t xml:space="preserve">Attestations expirées ou à échéance, avec alertes paramétrables (30 / 60 / 90 jours).</w:t>
      </w:r>
    </w:p>
    <w:p w:rsidR="00000000" w:rsidDel="00000000" w:rsidP="00000000" w:rsidRDefault="00000000" w:rsidRPr="00000000" w14:paraId="00000110">
      <w:pPr>
        <w:numPr>
          <w:ilvl w:val="0"/>
          <w:numId w:val="1"/>
        </w:numPr>
        <w:ind w:left="720" w:hanging="360"/>
      </w:pPr>
      <w:r w:rsidDel="00000000" w:rsidR="00000000" w:rsidRPr="00000000">
        <w:rPr>
          <w:rFonts w:ascii="Poppins" w:cs="Poppins" w:eastAsia="Poppins" w:hAnsi="Poppins"/>
          <w:color w:val="141414"/>
          <w:sz w:val="20"/>
          <w:szCs w:val="20"/>
          <w:rtl w:val="0"/>
        </w:rPr>
        <w:t xml:space="preserve">Fournisseurs sous-assurés, avec l'écart par garantie vis-à-vis des seuils GPTC.</w:t>
      </w:r>
    </w:p>
    <w:p w:rsidR="00000000" w:rsidDel="00000000" w:rsidP="00000000" w:rsidRDefault="00000000" w:rsidRPr="00000000" w14:paraId="00000111">
      <w:pPr>
        <w:numPr>
          <w:ilvl w:val="0"/>
          <w:numId w:val="1"/>
        </w:numPr>
        <w:ind w:left="720" w:hanging="360"/>
      </w:pPr>
      <w:r w:rsidDel="00000000" w:rsidR="00000000" w:rsidRPr="00000000">
        <w:rPr>
          <w:rFonts w:ascii="Poppins" w:cs="Poppins" w:eastAsia="Poppins" w:hAnsi="Poppins"/>
          <w:color w:val="141414"/>
          <w:sz w:val="20"/>
          <w:szCs w:val="20"/>
          <w:rtl w:val="0"/>
        </w:rPr>
        <w:t xml:space="preserve">Détail par fournisseur : garanties, limites en devise et contre-valeur EUR, statut de conformité, historique.</w:t>
      </w:r>
    </w:p>
    <w:p w:rsidR="00000000" w:rsidDel="00000000" w:rsidP="00000000" w:rsidRDefault="00000000" w:rsidRPr="00000000" w14:paraId="00000112">
      <w:pPr>
        <w:numPr>
          <w:ilvl w:val="0"/>
          <w:numId w:val="1"/>
        </w:numPr>
        <w:ind w:left="720" w:hanging="360"/>
      </w:pPr>
      <w:r w:rsidDel="00000000" w:rsidR="00000000" w:rsidRPr="00000000">
        <w:rPr>
          <w:rFonts w:ascii="Poppins" w:cs="Poppins" w:eastAsia="Poppins" w:hAnsi="Poppins"/>
          <w:color w:val="141414"/>
          <w:sz w:val="20"/>
          <w:szCs w:val="20"/>
          <w:rtl w:val="0"/>
        </w:rPr>
        <w:t xml:space="preserve">Export Excel des résultats et du reporting (exigence §3.2), sur toute vue filtrée (région, catégorie d'achat, statut).</w:t>
      </w:r>
    </w:p>
    <w:p w:rsidR="00000000" w:rsidDel="00000000" w:rsidP="00000000" w:rsidRDefault="00000000" w:rsidRPr="00000000" w14:paraId="00000113">
      <w:pPr>
        <w:rPr/>
      </w:pPr>
      <w:r w:rsidDel="00000000" w:rsidR="00000000" w:rsidRPr="00000000">
        <w:rPr>
          <w:rFonts w:ascii="Poppins" w:cs="Poppins" w:eastAsia="Poppins" w:hAnsi="Poppins"/>
          <w:color w:val="141414"/>
          <w:sz w:val="20"/>
          <w:szCs w:val="20"/>
          <w:rtl w:val="0"/>
        </w:rPr>
        <w:t xml:space="preserve">Déclinaison en deux temps : au PoC, un écran de revue léger — file des attestations analysées, scores, champs extraits, export Excel ; en V1, le portail complet — vues de pilotage par région / catégorie / BU, alertes d'échéance, détail fournisseur et exports.</w:t>
      </w:r>
      <w:r w:rsidDel="00000000" w:rsidR="00000000" w:rsidRPr="00000000">
        <w:rPr>
          <w:rtl w:val="0"/>
        </w:rPr>
      </w:r>
    </w:p>
    <w:p w:rsidR="00000000" w:rsidDel="00000000" w:rsidP="00000000" w:rsidRDefault="00000000" w:rsidRPr="00000000" w14:paraId="00000114">
      <w:pPr>
        <w:rPr>
          <w:rFonts w:ascii="Poppins" w:cs="Poppins" w:eastAsia="Poppins" w:hAnsi="Poppins"/>
          <w:b w:val="1"/>
          <w:bCs w:val="1"/>
          <w:color w:val="141414"/>
          <w:sz w:val="23"/>
          <w:szCs w:val="23"/>
        </w:rPr>
      </w:pPr>
      <w:r w:rsidDel="00000000" w:rsidR="00000000" w:rsidRPr="00000000">
        <w:rPr>
          <w:rtl w:val="0"/>
        </w:rPr>
      </w:r>
    </w:p>
    <w:p w:rsidR="00000000" w:rsidDel="00000000" w:rsidP="00000000" w:rsidRDefault="00000000" w:rsidRPr="00000000" w14:paraId="00000115">
      <w:pPr>
        <w:pStyle w:val="Heading2"/>
        <w:rPr/>
      </w:pPr>
      <w:bookmarkStart w:colFirst="0" w:colLast="0" w:name="_u7x1i0iglr3n" w:id="23"/>
      <w:bookmarkEnd w:id="23"/>
      <w:r w:rsidDel="00000000" w:rsidR="00000000" w:rsidRPr="00000000">
        <w:rPr>
          <w:rtl w:val="0"/>
        </w:rPr>
        <w:t xml:space="preserve">4.2 Exigences de performance</w:t>
      </w:r>
    </w:p>
    <w:p w:rsidR="00000000" w:rsidDel="00000000" w:rsidP="00000000" w:rsidRDefault="00000000" w:rsidRPr="00000000" w14:paraId="00000116">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Les trois exigences du cahier des charges sont acceptées telles quelles et proposées comme </w:t>
      </w:r>
      <w:r w:rsidDel="00000000" w:rsidR="00000000" w:rsidRPr="00000000">
        <w:rPr>
          <w:rFonts w:ascii="Poppins" w:cs="Poppins" w:eastAsia="Poppins" w:hAnsi="Poppins"/>
          <w:color w:val="141414"/>
          <w:sz w:val="20"/>
          <w:szCs w:val="20"/>
          <w:rtl w:val="0"/>
        </w:rPr>
        <w:t xml:space="preserve">critères de succès contractuels du PoC</w:t>
      </w:r>
      <w:r w:rsidDel="00000000" w:rsidR="00000000" w:rsidRPr="00000000">
        <w:rPr>
          <w:rFonts w:ascii="Poppins" w:cs="Poppins" w:eastAsia="Poppins" w:hAnsi="Poppins"/>
          <w:color w:val="2b2b2b"/>
          <w:sz w:val="20"/>
          <w:szCs w:val="20"/>
          <w:rtl w:val="0"/>
        </w:rPr>
        <w:t xml:space="preserve">, mesurés sur l'échantillon annoté de 100 à 200 attestations, avec arbitrage de la Direction des Assurances Groupe.</w:t>
      </w:r>
    </w:p>
    <w:p w:rsidR="00000000" w:rsidDel="00000000" w:rsidP="00000000" w:rsidRDefault="00000000" w:rsidRPr="00000000" w14:paraId="00000117">
      <w:pPr>
        <w:shd w:fill="f4f5f6" w:val="clear"/>
        <w:jc w:val="center"/>
        <w:rPr>
          <w:rFonts w:ascii="Poppins" w:cs="Poppins" w:eastAsia="Poppins" w:hAnsi="Poppins"/>
          <w:b w:val="1"/>
          <w:bCs w:val="1"/>
          <w:sz w:val="45"/>
          <w:szCs w:val="45"/>
        </w:rPr>
      </w:pPr>
      <w:r w:rsidDel="00000000" w:rsidR="00000000" w:rsidRPr="00000000">
        <w:rPr>
          <w:rFonts w:ascii="Poppins" w:cs="Poppins" w:eastAsia="Poppins" w:hAnsi="Poppins"/>
          <w:b w:val="1"/>
          <w:bCs w:val="1"/>
          <w:sz w:val="45"/>
          <w:szCs w:val="45"/>
          <w:rtl w:val="0"/>
        </w:rPr>
        <w:t xml:space="preserve">&lt; 30 s</w:t>
      </w:r>
    </w:p>
    <w:p w:rsidR="00000000" w:rsidDel="00000000" w:rsidP="00000000" w:rsidRDefault="00000000" w:rsidRPr="00000000" w14:paraId="00000118">
      <w:pPr>
        <w:shd w:fill="f4f5f6" w:val="clear"/>
        <w:jc w:val="center"/>
        <w:rPr>
          <w:rFonts w:ascii="Poppins" w:cs="Poppins" w:eastAsia="Poppins" w:hAnsi="Poppins"/>
          <w:color w:val="4a4a4a"/>
          <w:sz w:val="18"/>
          <w:szCs w:val="18"/>
        </w:rPr>
      </w:pPr>
      <w:r w:rsidDel="00000000" w:rsidR="00000000" w:rsidRPr="00000000">
        <w:rPr>
          <w:rFonts w:ascii="Poppins" w:cs="Poppins" w:eastAsia="Poppins" w:hAnsi="Poppins"/>
          <w:color w:val="4a4a4a"/>
          <w:sz w:val="18"/>
          <w:szCs w:val="18"/>
          <w:rtl w:val="0"/>
        </w:rPr>
        <w:t xml:space="preserve">Temps de traitement par attestation</w:t>
      </w:r>
    </w:p>
    <w:p w:rsidR="00000000" w:rsidDel="00000000" w:rsidP="00000000" w:rsidRDefault="00000000" w:rsidRPr="00000000" w14:paraId="00000119">
      <w:pPr>
        <w:jc w:val="center"/>
        <w:rPr>
          <w:rFonts w:ascii="Poppins" w:cs="Poppins" w:eastAsia="Poppins" w:hAnsi="Poppins"/>
          <w:color w:val="4a4a4a"/>
          <w:sz w:val="18"/>
          <w:szCs w:val="18"/>
        </w:rPr>
      </w:pPr>
      <w:r w:rsidDel="00000000" w:rsidR="00000000" w:rsidRPr="00000000">
        <w:rPr>
          <w:rtl w:val="0"/>
        </w:rPr>
      </w:r>
    </w:p>
    <w:p w:rsidR="00000000" w:rsidDel="00000000" w:rsidP="00000000" w:rsidRDefault="00000000" w:rsidRPr="00000000" w14:paraId="0000011A">
      <w:pPr>
        <w:shd w:fill="f4f5f6" w:val="clear"/>
        <w:jc w:val="center"/>
        <w:rPr>
          <w:rFonts w:ascii="Poppins" w:cs="Poppins" w:eastAsia="Poppins" w:hAnsi="Poppins"/>
          <w:b w:val="1"/>
          <w:bCs w:val="1"/>
          <w:sz w:val="45"/>
          <w:szCs w:val="45"/>
        </w:rPr>
      </w:pPr>
      <w:commentRangeStart w:id="0"/>
      <w:r w:rsidDel="00000000" w:rsidR="00000000" w:rsidRPr="00000000">
        <w:rPr>
          <w:rFonts w:ascii="Poppins" w:cs="Poppins" w:eastAsia="Poppins" w:hAnsi="Poppins"/>
          <w:b w:val="1"/>
          <w:bCs w:val="1"/>
          <w:sz w:val="45"/>
          <w:szCs w:val="45"/>
          <w:rtl w:val="0"/>
        </w:rPr>
        <w:t xml:space="preserve">≥ 90 %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B">
      <w:pPr>
        <w:shd w:fill="f4f5f6" w:val="clear"/>
        <w:jc w:val="center"/>
        <w:rPr>
          <w:rFonts w:ascii="Poppins" w:cs="Poppins" w:eastAsia="Poppins" w:hAnsi="Poppins"/>
          <w:color w:val="4a4a4a"/>
          <w:sz w:val="18"/>
          <w:szCs w:val="18"/>
        </w:rPr>
      </w:pPr>
      <w:r w:rsidDel="00000000" w:rsidR="00000000" w:rsidRPr="00000000">
        <w:rPr>
          <w:rFonts w:ascii="Poppins" w:cs="Poppins" w:eastAsia="Poppins" w:hAnsi="Poppins"/>
          <w:color w:val="4a4a4a"/>
          <w:sz w:val="18"/>
          <w:szCs w:val="18"/>
          <w:rtl w:val="0"/>
        </w:rPr>
        <w:t xml:space="preserve">Taux de reconnaissance des champs clés</w:t>
      </w:r>
    </w:p>
    <w:p w:rsidR="00000000" w:rsidDel="00000000" w:rsidP="00000000" w:rsidRDefault="00000000" w:rsidRPr="00000000" w14:paraId="0000011C">
      <w:pPr>
        <w:jc w:val="center"/>
        <w:rPr>
          <w:rFonts w:ascii="Poppins" w:cs="Poppins" w:eastAsia="Poppins" w:hAnsi="Poppins"/>
          <w:color w:val="4a4a4a"/>
          <w:sz w:val="18"/>
          <w:szCs w:val="18"/>
        </w:rPr>
      </w:pPr>
      <w:r w:rsidDel="00000000" w:rsidR="00000000" w:rsidRPr="00000000">
        <w:rPr>
          <w:rtl w:val="0"/>
        </w:rPr>
      </w:r>
    </w:p>
    <w:p w:rsidR="00000000" w:rsidDel="00000000" w:rsidP="00000000" w:rsidRDefault="00000000" w:rsidRPr="00000000" w14:paraId="0000011D">
      <w:pPr>
        <w:shd w:fill="f4f5f6" w:val="clear"/>
        <w:jc w:val="center"/>
        <w:rPr>
          <w:rFonts w:ascii="Poppins" w:cs="Poppins" w:eastAsia="Poppins" w:hAnsi="Poppins"/>
          <w:b w:val="1"/>
          <w:bCs w:val="1"/>
          <w:sz w:val="45"/>
          <w:szCs w:val="45"/>
        </w:rPr>
      </w:pPr>
      <w:r w:rsidDel="00000000" w:rsidR="00000000" w:rsidRPr="00000000">
        <w:rPr>
          <w:rFonts w:ascii="Poppins" w:cs="Poppins" w:eastAsia="Poppins" w:hAnsi="Poppins"/>
          <w:b w:val="1"/>
          <w:bCs w:val="1"/>
          <w:sz w:val="45"/>
          <w:szCs w:val="45"/>
          <w:rtl w:val="0"/>
        </w:rPr>
        <w:t xml:space="preserve">≥ 99 %</w:t>
      </w:r>
    </w:p>
    <w:p w:rsidR="00000000" w:rsidDel="00000000" w:rsidP="00000000" w:rsidRDefault="00000000" w:rsidRPr="00000000" w14:paraId="0000011E">
      <w:pPr>
        <w:shd w:fill="f4f5f6" w:val="clear"/>
        <w:jc w:val="center"/>
        <w:rPr>
          <w:rFonts w:ascii="Poppins" w:cs="Poppins" w:eastAsia="Poppins" w:hAnsi="Poppins"/>
          <w:color w:val="4a4a4a"/>
          <w:sz w:val="18"/>
          <w:szCs w:val="18"/>
        </w:rPr>
      </w:pPr>
      <w:r w:rsidDel="00000000" w:rsidR="00000000" w:rsidRPr="00000000">
        <w:rPr>
          <w:rFonts w:ascii="Poppins" w:cs="Poppins" w:eastAsia="Poppins" w:hAnsi="Poppins"/>
          <w:color w:val="4a4a4a"/>
          <w:sz w:val="18"/>
          <w:szCs w:val="18"/>
          <w:rtl w:val="0"/>
        </w:rPr>
        <w:t xml:space="preserve">Disponibilité du service</w:t>
      </w:r>
    </w:p>
    <w:p w:rsidR="00000000" w:rsidDel="00000000" w:rsidP="00000000" w:rsidRDefault="00000000" w:rsidRPr="00000000" w14:paraId="0000011F">
      <w:pPr>
        <w:spacing w:after="120" w:before="330" w:lineRule="auto"/>
        <w:rPr>
          <w:rFonts w:ascii="Poppins" w:cs="Poppins" w:eastAsia="Poppins" w:hAnsi="Poppins"/>
          <w:b w:val="1"/>
          <w:bCs w:val="1"/>
          <w:color w:val="141414"/>
          <w:sz w:val="23"/>
          <w:szCs w:val="23"/>
        </w:rPr>
      </w:pPr>
      <w:r w:rsidDel="00000000" w:rsidR="00000000" w:rsidRPr="00000000">
        <w:rPr>
          <w:rFonts w:ascii="Poppins" w:cs="Poppins" w:eastAsia="Poppins" w:hAnsi="Poppins"/>
          <w:b w:val="1"/>
          <w:bCs w:val="1"/>
          <w:color w:val="141414"/>
          <w:sz w:val="23"/>
          <w:szCs w:val="23"/>
          <w:rtl w:val="0"/>
        </w:rPr>
        <w:t xml:space="preserve">Temps de traitement - &lt; 30 secondes</w:t>
      </w:r>
    </w:p>
    <w:p w:rsidR="00000000" w:rsidDel="00000000" w:rsidP="00000000" w:rsidRDefault="00000000" w:rsidRPr="00000000" w14:paraId="00000120">
      <w:pPr>
        <w:numPr>
          <w:ilvl w:val="0"/>
          <w:numId w:val="13"/>
        </w:numPr>
        <w:spacing w:after="75" w:before="280" w:lineRule="auto"/>
        <w:ind w:left="720" w:hanging="360"/>
        <w:rPr>
          <w:color w:val="2b2b2b"/>
        </w:rPr>
      </w:pPr>
      <w:r w:rsidDel="00000000" w:rsidR="00000000" w:rsidRPr="00000000">
        <w:rPr>
          <w:rFonts w:ascii="Poppins" w:cs="Poppins" w:eastAsia="Poppins" w:hAnsi="Poppins"/>
          <w:color w:val="2b2b2b"/>
          <w:sz w:val="20"/>
          <w:szCs w:val="20"/>
          <w:rtl w:val="0"/>
        </w:rPr>
        <w:t xml:space="preserve">Pipeline parallélisé par page ; une attestation type (1 à 4 pages) est traitée en 10 à 20 secondes.</w:t>
      </w:r>
    </w:p>
    <w:p w:rsidR="00000000" w:rsidDel="00000000" w:rsidP="00000000" w:rsidRDefault="00000000" w:rsidRPr="00000000" w14:paraId="00000121">
      <w:pPr>
        <w:numPr>
          <w:ilvl w:val="0"/>
          <w:numId w:val="13"/>
        </w:numPr>
        <w:spacing w:after="75" w:before="0" w:lineRule="auto"/>
        <w:ind w:left="720" w:hanging="360"/>
        <w:rPr>
          <w:color w:val="2b2b2b"/>
        </w:rPr>
      </w:pPr>
      <w:r w:rsidDel="00000000" w:rsidR="00000000" w:rsidRPr="00000000">
        <w:rPr>
          <w:rFonts w:ascii="Poppins" w:cs="Poppins" w:eastAsia="Poppins" w:hAnsi="Poppins"/>
          <w:color w:val="2b2b2b"/>
          <w:sz w:val="20"/>
          <w:szCs w:val="20"/>
          <w:rtl w:val="0"/>
        </w:rPr>
        <w:t xml:space="preserve">Extraction en un seul passage modèle ; scoring déterministe en millisecondes.</w:t>
      </w:r>
    </w:p>
    <w:p w:rsidR="00000000" w:rsidDel="00000000" w:rsidP="00000000" w:rsidRDefault="00000000" w:rsidRPr="00000000" w14:paraId="00000122">
      <w:pPr>
        <w:numPr>
          <w:ilvl w:val="0"/>
          <w:numId w:val="13"/>
        </w:numPr>
        <w:spacing w:after="75" w:before="0" w:lineRule="auto"/>
        <w:ind w:left="720" w:hanging="360"/>
        <w:rPr>
          <w:color w:val="2b2b2b"/>
        </w:rPr>
      </w:pPr>
      <w:r w:rsidDel="00000000" w:rsidR="00000000" w:rsidRPr="00000000">
        <w:rPr>
          <w:rFonts w:ascii="Poppins" w:cs="Poppins" w:eastAsia="Poppins" w:hAnsi="Poppins"/>
          <w:color w:val="2b2b2b"/>
          <w:sz w:val="20"/>
          <w:szCs w:val="20"/>
          <w:rtl w:val="0"/>
        </w:rPr>
        <w:t xml:space="preserve">Absorption des pics de renouvellement par montée en charge horizontale, sans dégrader le temps unitaire.</w:t>
      </w:r>
    </w:p>
    <w:p w:rsidR="00000000" w:rsidDel="00000000" w:rsidP="00000000" w:rsidRDefault="00000000" w:rsidRPr="00000000" w14:paraId="00000123">
      <w:pPr>
        <w:numPr>
          <w:ilvl w:val="0"/>
          <w:numId w:val="13"/>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Mesure</w:t>
      </w:r>
      <w:r w:rsidDel="00000000" w:rsidR="00000000" w:rsidRPr="00000000">
        <w:rPr>
          <w:rFonts w:ascii="Poppins" w:cs="Poppins" w:eastAsia="Poppins" w:hAnsi="Poppins"/>
          <w:color w:val="2b2b2b"/>
          <w:sz w:val="20"/>
          <w:szCs w:val="20"/>
          <w:rtl w:val="0"/>
        </w:rPr>
        <w:t xml:space="preserve"> : temps journalisé par attestation, restitué au tableau de bord (moyenne, P95). Critère PoC : </w:t>
      </w:r>
      <w:r w:rsidDel="00000000" w:rsidR="00000000" w:rsidRPr="00000000">
        <w:rPr>
          <w:rFonts w:ascii="Poppins" w:cs="Poppins" w:eastAsia="Poppins" w:hAnsi="Poppins"/>
          <w:color w:val="141414"/>
          <w:sz w:val="20"/>
          <w:szCs w:val="20"/>
          <w:rtl w:val="0"/>
        </w:rPr>
        <w:t xml:space="preserve">P95 &lt; 30 s</w:t>
      </w:r>
      <w:r w:rsidDel="00000000" w:rsidR="00000000" w:rsidRPr="00000000">
        <w:rPr>
          <w:rFonts w:ascii="Poppins" w:cs="Poppins" w:eastAsia="Poppins" w:hAnsi="Poppins"/>
          <w:color w:val="2b2b2b"/>
          <w:sz w:val="20"/>
          <w:szCs w:val="20"/>
          <w:rtl w:val="0"/>
        </w:rPr>
        <w:t xml:space="preserve"> sur l'échantillon complet, scans dégradés inclus.</w:t>
      </w:r>
    </w:p>
    <w:p w:rsidR="00000000" w:rsidDel="00000000" w:rsidP="00000000" w:rsidRDefault="00000000" w:rsidRPr="00000000" w14:paraId="00000124">
      <w:pPr>
        <w:spacing w:after="120" w:before="330" w:lineRule="auto"/>
        <w:rPr>
          <w:rFonts w:ascii="Poppins" w:cs="Poppins" w:eastAsia="Poppins" w:hAnsi="Poppins"/>
          <w:b w:val="1"/>
          <w:bCs w:val="1"/>
          <w:color w:val="141414"/>
          <w:sz w:val="23"/>
          <w:szCs w:val="23"/>
        </w:rPr>
      </w:pPr>
      <w:r w:rsidDel="00000000" w:rsidR="00000000" w:rsidRPr="00000000">
        <w:rPr>
          <w:rFonts w:ascii="Poppins" w:cs="Poppins" w:eastAsia="Poppins" w:hAnsi="Poppins"/>
          <w:b w:val="1"/>
          <w:bCs w:val="1"/>
          <w:color w:val="141414"/>
          <w:sz w:val="23"/>
          <w:szCs w:val="23"/>
          <w:rtl w:val="0"/>
        </w:rPr>
        <w:t xml:space="preserve">Taux de reconnaissance - ≥ 90 %</w:t>
      </w:r>
    </w:p>
    <w:p w:rsidR="00000000" w:rsidDel="00000000" w:rsidP="00000000" w:rsidRDefault="00000000" w:rsidRPr="00000000" w14:paraId="00000125">
      <w:pPr>
        <w:numPr>
          <w:ilvl w:val="0"/>
          <w:numId w:val="3"/>
        </w:numPr>
        <w:spacing w:after="75" w:before="280" w:lineRule="auto"/>
        <w:ind w:left="720" w:hanging="360"/>
        <w:rPr>
          <w:color w:val="2b2b2b"/>
        </w:rPr>
      </w:pPr>
      <w:r w:rsidDel="00000000" w:rsidR="00000000" w:rsidRPr="00000000">
        <w:rPr>
          <w:rFonts w:ascii="Poppins" w:cs="Poppins" w:eastAsia="Poppins" w:hAnsi="Poppins"/>
          <w:color w:val="2b2b2b"/>
          <w:sz w:val="20"/>
          <w:szCs w:val="20"/>
          <w:rtl w:val="0"/>
        </w:rPr>
        <w:t xml:space="preserve">Mesuré champ par champ contre la vérité terrain annotée, avec détail par champ et par langue.</w:t>
      </w:r>
    </w:p>
    <w:p w:rsidR="00000000" w:rsidDel="00000000" w:rsidP="00000000" w:rsidRDefault="00000000" w:rsidRPr="00000000" w14:paraId="00000126">
      <w:pPr>
        <w:numPr>
          <w:ilvl w:val="0"/>
          <w:numId w:val="3"/>
        </w:numPr>
        <w:spacing w:after="75" w:before="0" w:lineRule="auto"/>
        <w:ind w:left="720" w:hanging="360"/>
        <w:rPr>
          <w:color w:val="2b2b2b"/>
        </w:rPr>
      </w:pPr>
      <w:r w:rsidDel="00000000" w:rsidR="00000000" w:rsidRPr="00000000">
        <w:rPr>
          <w:rFonts w:ascii="Poppins" w:cs="Poppins" w:eastAsia="Poppins" w:hAnsi="Poppins"/>
          <w:color w:val="2b2b2b"/>
          <w:sz w:val="20"/>
          <w:szCs w:val="20"/>
          <w:rtl w:val="0"/>
        </w:rPr>
        <w:t xml:space="preserve">Porté par le moteur vision-langage, l'ancrage obligatoire (un champ sans ancrage n'est pas compté comme reconnu) et le garde-fou d'exactitude.</w:t>
      </w:r>
    </w:p>
    <w:p w:rsidR="00000000" w:rsidDel="00000000" w:rsidP="00000000" w:rsidRDefault="00000000" w:rsidRPr="00000000" w14:paraId="00000127">
      <w:pPr>
        <w:numPr>
          <w:ilvl w:val="0"/>
          <w:numId w:val="3"/>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Mesure</w:t>
      </w:r>
      <w:r w:rsidDel="00000000" w:rsidR="00000000" w:rsidRPr="00000000">
        <w:rPr>
          <w:rFonts w:ascii="Poppins" w:cs="Poppins" w:eastAsia="Poppins" w:hAnsi="Poppins"/>
          <w:color w:val="2b2b2b"/>
          <w:sz w:val="20"/>
          <w:szCs w:val="20"/>
          <w:rtl w:val="0"/>
        </w:rPr>
        <w:t xml:space="preserve"> : harnais d'évaluation construit au cadrage et rejoué à chaque évolution - vérifiable en continu. Critères PoC : </w:t>
      </w:r>
      <w:r w:rsidDel="00000000" w:rsidR="00000000" w:rsidRPr="00000000">
        <w:rPr>
          <w:rFonts w:ascii="Poppins" w:cs="Poppins" w:eastAsia="Poppins" w:hAnsi="Poppins"/>
          <w:color w:val="141414"/>
          <w:sz w:val="20"/>
          <w:szCs w:val="20"/>
          <w:rtl w:val="0"/>
        </w:rPr>
        <w:t xml:space="preserve">≥ 90 %</w:t>
      </w:r>
      <w:r w:rsidDel="00000000" w:rsidR="00000000" w:rsidRPr="00000000">
        <w:rPr>
          <w:rFonts w:ascii="Poppins" w:cs="Poppins" w:eastAsia="Poppins" w:hAnsi="Poppins"/>
          <w:color w:val="2b2b2b"/>
          <w:sz w:val="20"/>
          <w:szCs w:val="20"/>
          <w:rtl w:val="0"/>
        </w:rPr>
        <w:t xml:space="preserve"> sur le jeu annoté ; </w:t>
      </w:r>
      <w:r w:rsidDel="00000000" w:rsidR="00000000" w:rsidRPr="00000000">
        <w:rPr>
          <w:rFonts w:ascii="Poppins" w:cs="Poppins" w:eastAsia="Poppins" w:hAnsi="Poppins"/>
          <w:color w:val="2b2b2b"/>
          <w:sz w:val="20"/>
          <w:szCs w:val="20"/>
          <w:rtl w:val="0"/>
        </w:rPr>
        <w:t xml:space="preserve">aucune attestation expirée de l'échantillon ne ressort conforme (détectée ou routée en revue).</w:t>
      </w:r>
      <w:r w:rsidDel="00000000" w:rsidR="00000000" w:rsidRPr="00000000">
        <w:rPr>
          <w:rFonts w:ascii="Poppins" w:cs="Poppins" w:eastAsia="Poppins" w:hAnsi="Poppins"/>
          <w:color w:val="2b2b2b"/>
          <w:sz w:val="20"/>
          <w:szCs w:val="20"/>
          <w:rtl w:val="0"/>
        </w:rPr>
        <w:t xml:space="preserve">.</w:t>
      </w:r>
    </w:p>
    <w:p w:rsidR="00000000" w:rsidDel="00000000" w:rsidP="00000000" w:rsidRDefault="00000000" w:rsidRPr="00000000" w14:paraId="00000128">
      <w:pPr>
        <w:spacing w:after="120" w:before="330" w:lineRule="auto"/>
        <w:rPr>
          <w:rFonts w:ascii="Poppins" w:cs="Poppins" w:eastAsia="Poppins" w:hAnsi="Poppins"/>
          <w:b w:val="1"/>
          <w:bCs w:val="1"/>
          <w:color w:val="141414"/>
          <w:sz w:val="23"/>
          <w:szCs w:val="23"/>
        </w:rPr>
      </w:pPr>
      <w:r w:rsidDel="00000000" w:rsidR="00000000" w:rsidRPr="00000000">
        <w:rPr>
          <w:rFonts w:ascii="Poppins" w:cs="Poppins" w:eastAsia="Poppins" w:hAnsi="Poppins"/>
          <w:b w:val="1"/>
          <w:bCs w:val="1"/>
          <w:color w:val="141414"/>
          <w:sz w:val="23"/>
          <w:szCs w:val="23"/>
          <w:rtl w:val="0"/>
        </w:rPr>
        <w:t xml:space="preserve">Disponibilité - ≥ 99 %</w:t>
      </w:r>
    </w:p>
    <w:p w:rsidR="00000000" w:rsidDel="00000000" w:rsidP="00000000" w:rsidRDefault="00000000" w:rsidRPr="00000000" w14:paraId="00000129">
      <w:pPr>
        <w:numPr>
          <w:ilvl w:val="0"/>
          <w:numId w:val="4"/>
        </w:numPr>
        <w:spacing w:after="75" w:before="280" w:lineRule="auto"/>
        <w:ind w:left="720" w:hanging="360"/>
        <w:rPr>
          <w:color w:val="2b2b2b"/>
        </w:rPr>
      </w:pPr>
      <w:r w:rsidDel="00000000" w:rsidR="00000000" w:rsidRPr="00000000">
        <w:rPr>
          <w:rFonts w:ascii="Poppins" w:cs="Poppins" w:eastAsia="Poppins" w:hAnsi="Poppins"/>
          <w:color w:val="2b2b2b"/>
          <w:sz w:val="20"/>
          <w:szCs w:val="20"/>
          <w:rtl w:val="0"/>
        </w:rPr>
        <w:t xml:space="preserve">Hébergement en France sur infrastructure redondée ; supervision et alerting 24/7.</w:t>
      </w:r>
    </w:p>
    <w:p w:rsidR="00000000" w:rsidDel="00000000" w:rsidP="00000000" w:rsidRDefault="00000000" w:rsidRPr="00000000" w14:paraId="0000012A">
      <w:pPr>
        <w:numPr>
          <w:ilvl w:val="0"/>
          <w:numId w:val="4"/>
        </w:numPr>
        <w:spacing w:after="75" w:before="0" w:lineRule="auto"/>
        <w:ind w:left="720" w:hanging="360"/>
        <w:rPr>
          <w:color w:val="2b2b2b"/>
        </w:rPr>
      </w:pPr>
      <w:r w:rsidDel="00000000" w:rsidR="00000000" w:rsidRPr="00000000">
        <w:rPr>
          <w:rFonts w:ascii="Poppins" w:cs="Poppins" w:eastAsia="Poppins" w:hAnsi="Poppins"/>
          <w:color w:val="2b2b2b"/>
          <w:sz w:val="20"/>
          <w:szCs w:val="20"/>
          <w:rtl w:val="0"/>
        </w:rPr>
        <w:t xml:space="preserve">Découplage des flux : une indisponibilité du moteur d'analyse n'interrompt ni la collecte (file et rattrapage automatiques) ni la consultation du tableau de bord.</w:t>
      </w:r>
    </w:p>
    <w:p w:rsidR="00000000" w:rsidDel="00000000" w:rsidP="00000000" w:rsidRDefault="00000000" w:rsidRPr="00000000" w14:paraId="0000012B">
      <w:pPr>
        <w:numPr>
          <w:ilvl w:val="0"/>
          <w:numId w:val="4"/>
        </w:numPr>
        <w:spacing w:after="75" w:before="0" w:lineRule="auto"/>
        <w:ind w:left="720" w:hanging="360"/>
        <w:rPr>
          <w:color w:val="2b2b2b"/>
        </w:rPr>
      </w:pPr>
      <w:r w:rsidDel="00000000" w:rsidR="00000000" w:rsidRPr="00000000">
        <w:rPr>
          <w:rFonts w:ascii="Poppins" w:cs="Poppins" w:eastAsia="Poppins" w:hAnsi="Poppins"/>
          <w:color w:val="2b2b2b"/>
          <w:sz w:val="20"/>
          <w:szCs w:val="20"/>
          <w:rtl w:val="0"/>
        </w:rPr>
        <w:t xml:space="preserve">PRA documenté avec RTO / RPO contractualisés, testé pendant la phase de build.</w:t>
      </w:r>
    </w:p>
    <w:p w:rsidR="00000000" w:rsidDel="00000000" w:rsidP="00000000" w:rsidRDefault="00000000" w:rsidRPr="00000000" w14:paraId="0000012C">
      <w:pPr>
        <w:numPr>
          <w:ilvl w:val="0"/>
          <w:numId w:val="4"/>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Mesure</w:t>
      </w:r>
      <w:r w:rsidDel="00000000" w:rsidR="00000000" w:rsidRPr="00000000">
        <w:rPr>
          <w:rFonts w:ascii="Poppins" w:cs="Poppins" w:eastAsia="Poppins" w:hAnsi="Poppins"/>
          <w:color w:val="2b2b2b"/>
          <w:sz w:val="20"/>
          <w:szCs w:val="20"/>
          <w:rtl w:val="0"/>
        </w:rPr>
        <w:t xml:space="preserve"> : disponibilité mensuelle de bout en bout, </w:t>
      </w:r>
      <w:r w:rsidDel="00000000" w:rsidR="00000000" w:rsidRPr="00000000">
        <w:rPr>
          <w:rFonts w:ascii="Poppins" w:cs="Poppins" w:eastAsia="Poppins" w:hAnsi="Poppins"/>
          <w:color w:val="141414"/>
          <w:sz w:val="20"/>
          <w:szCs w:val="20"/>
          <w:rtl w:val="0"/>
        </w:rPr>
        <w:t xml:space="preserve">SLA ≥ 99 %</w:t>
      </w:r>
      <w:r w:rsidDel="00000000" w:rsidR="00000000" w:rsidRPr="00000000">
        <w:rPr>
          <w:rFonts w:ascii="Poppins" w:cs="Poppins" w:eastAsia="Poppins" w:hAnsi="Poppins"/>
          <w:color w:val="2b2b2b"/>
          <w:sz w:val="20"/>
          <w:szCs w:val="20"/>
          <w:rtl w:val="0"/>
        </w:rPr>
        <w:t xml:space="preserve"> contractualisé au run, rapport au comité de pilotage ; maintenances planifiées hors fenêtres de forte activité.</w:t>
      </w:r>
    </w:p>
    <w:p w:rsidR="00000000" w:rsidDel="00000000" w:rsidP="00000000" w:rsidRDefault="00000000" w:rsidRPr="00000000" w14:paraId="0000012D">
      <w:pPr>
        <w:numPr>
          <w:ilvl w:val="0"/>
          <w:numId w:val="4"/>
        </w:numPr>
        <w:spacing w:after="75" w:before="0" w:lineRule="auto"/>
        <w:ind w:left="720" w:hanging="360"/>
        <w:rPr>
          <w:rFonts w:ascii="Poppins" w:cs="Poppins" w:eastAsia="Poppins" w:hAnsi="Poppins"/>
          <w:color w:val="2b2b2b"/>
          <w:sz w:val="20"/>
          <w:szCs w:val="20"/>
          <w:u w:val="none"/>
        </w:rPr>
      </w:pPr>
      <w:r w:rsidDel="00000000" w:rsidR="00000000" w:rsidRPr="00000000">
        <w:rPr>
          <w:rFonts w:ascii="Poppins" w:cs="Poppins" w:eastAsia="Poppins" w:hAnsi="Poppins"/>
          <w:color w:val="2b2b2b"/>
          <w:sz w:val="20"/>
          <w:szCs w:val="20"/>
          <w:rtl w:val="0"/>
        </w:rPr>
        <w:t xml:space="preserve">Supervision 24/7, PRA avec RTO/RPO, SLA contractualis</w:t>
      </w:r>
      <w:r w:rsidDel="00000000" w:rsidR="00000000" w:rsidRPr="00000000">
        <w:rPr>
          <w:rtl w:val="0"/>
        </w:rPr>
      </w:r>
    </w:p>
    <w:tbl>
      <w:tblPr>
        <w:tblStyle w:val="Table8"/>
        <w:tblW w:w="9072.0" w:type="dxa"/>
        <w:jc w:val="left"/>
        <w:tblLayout w:type="fixed"/>
        <w:tblLook w:val="0400"/>
      </w:tblPr>
      <w:tblGrid>
        <w:gridCol w:w="3089"/>
        <w:gridCol w:w="1999"/>
        <w:gridCol w:w="3984"/>
        <w:tblGridChange w:id="0">
          <w:tblGrid>
            <w:gridCol w:w="3089"/>
            <w:gridCol w:w="1999"/>
            <w:gridCol w:w="3984"/>
          </w:tblGrid>
        </w:tblGridChange>
      </w:tblGrid>
      <w:tr>
        <w:trPr>
          <w:cantSplit w:val="0"/>
          <w:tblHeader w:val="1"/>
        </w:trPr>
        <w:tc>
          <w:tcPr>
            <w:shd w:fill="141414" w:val="clear"/>
            <w:tcMar>
              <w:top w:w="120.0" w:type="dxa"/>
              <w:left w:w="150.0" w:type="dxa"/>
              <w:bottom w:w="120.0" w:type="dxa"/>
              <w:right w:w="150.0" w:type="dxa"/>
            </w:tcMar>
            <w:vAlign w:val="center"/>
          </w:tcPr>
          <w:p w:rsidR="00000000" w:rsidDel="00000000" w:rsidP="00000000" w:rsidRDefault="00000000" w:rsidRPr="00000000" w14:paraId="0000012E">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Exigence</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12F">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Engagement Arkan</w:t>
            </w:r>
          </w:p>
        </w:tc>
        <w:tc>
          <w:tcPr>
            <w:shd w:fill="141414" w:val="clear"/>
            <w:tcMar>
              <w:top w:w="120.0" w:type="dxa"/>
              <w:left w:w="150.0" w:type="dxa"/>
              <w:bottom w:w="120.0" w:type="dxa"/>
              <w:right w:w="150.0" w:type="dxa"/>
            </w:tcMar>
            <w:vAlign w:val="center"/>
          </w:tcPr>
          <w:p w:rsidR="00000000" w:rsidDel="00000000" w:rsidP="00000000" w:rsidRDefault="00000000" w:rsidRPr="00000000" w14:paraId="00000130">
            <w:pPr>
              <w:spacing w:after="240" w:before="150"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Modalité de mesure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1">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Temps de traitement &lt; 30 s</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2">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P95 &lt; 30 s</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3">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Journalisé par attestation, vérifié au PoC sur l'échantillon complet</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4">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Reconnaissance des champs clés ≥ 90 %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5">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 90 %</w:t>
            </w:r>
            <w:r w:rsidDel="00000000" w:rsidR="00000000" w:rsidRPr="00000000">
              <w:rPr>
                <w:rFonts w:ascii="Poppins" w:cs="Poppins" w:eastAsia="Poppins" w:hAnsi="Poppins"/>
                <w:color w:val="2b2b2b"/>
                <w:sz w:val="19"/>
                <w:szCs w:val="19"/>
                <w:rtl w:val="0"/>
              </w:rPr>
              <w:t xml:space="preserve"> par champ clé</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6">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Harnais d'évaluation sur échantillon annoté, détail par champ et par langue</w:t>
            </w:r>
          </w:p>
        </w:tc>
      </w:tr>
      <w:tr>
        <w:trPr>
          <w:cantSplit w:val="0"/>
          <w:tblHeader w:val="0"/>
        </w:trPr>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7">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Disponibilité ≥ 99 %</w:t>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8">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141414"/>
                <w:sz w:val="19"/>
                <w:szCs w:val="19"/>
                <w:rtl w:val="0"/>
              </w:rPr>
              <w:t xml:space="preserve">SLA ≥ 99 %</w:t>
            </w:r>
            <w:r w:rsidDel="00000000" w:rsidR="00000000" w:rsidRPr="00000000">
              <w:rPr>
                <w:rtl w:val="0"/>
              </w:rPr>
            </w:r>
          </w:p>
        </w:tc>
        <w:tc>
          <w:tcPr>
            <w:tcBorders>
              <w:top w:color="000000" w:space="0" w:sz="0" w:val="nil"/>
              <w:left w:color="000000" w:space="0" w:sz="0" w:val="nil"/>
              <w:bottom w:color="e4e5e6" w:space="0" w:sz="6" w:val="single"/>
              <w:right w:color="000000" w:space="0" w:sz="0" w:val="nil"/>
            </w:tcBorders>
            <w:tcMar>
              <w:top w:w="120.0" w:type="dxa"/>
              <w:left w:w="150.0" w:type="dxa"/>
              <w:bottom w:w="120.0" w:type="dxa"/>
              <w:right w:w="150.0" w:type="dxa"/>
            </w:tcMar>
          </w:tcPr>
          <w:p w:rsidR="00000000" w:rsidDel="00000000" w:rsidP="00000000" w:rsidRDefault="00000000" w:rsidRPr="00000000" w14:paraId="00000139">
            <w:pPr>
              <w:spacing w:after="240" w:before="150" w:lineRule="auto"/>
              <w:rPr>
                <w:rFonts w:ascii="Poppins" w:cs="Poppins" w:eastAsia="Poppins" w:hAnsi="Poppins"/>
                <w:color w:val="2b2b2b"/>
                <w:sz w:val="19"/>
                <w:szCs w:val="19"/>
              </w:rPr>
            </w:pPr>
            <w:r w:rsidDel="00000000" w:rsidR="00000000" w:rsidRPr="00000000">
              <w:rPr>
                <w:rFonts w:ascii="Poppins" w:cs="Poppins" w:eastAsia="Poppins" w:hAnsi="Poppins"/>
                <w:color w:val="2b2b2b"/>
                <w:sz w:val="19"/>
                <w:szCs w:val="19"/>
                <w:rtl w:val="0"/>
              </w:rPr>
              <w:t xml:space="preserve">Mesure mensuelle de bout en bout, rapport au comité de pilotage, PRA testé</w:t>
            </w:r>
          </w:p>
        </w:tc>
      </w:tr>
    </w:tbl>
    <w:p w:rsidR="00000000" w:rsidDel="00000000" w:rsidP="00000000" w:rsidRDefault="00000000" w:rsidRPr="00000000" w14:paraId="0000013A">
      <w:pPr>
        <w:pStyle w:val="Heading2"/>
        <w:rPr/>
      </w:pPr>
      <w:bookmarkStart w:colFirst="0" w:colLast="0" w:name="_2vkzspfx04lh" w:id="24"/>
      <w:bookmarkEnd w:id="24"/>
      <w:r w:rsidDel="00000000" w:rsidR="00000000" w:rsidRPr="00000000">
        <w:rPr>
          <w:rtl w:val="0"/>
        </w:rPr>
        <w:t xml:space="preserve">4.3 Exigences de sécurité</w:t>
      </w:r>
    </w:p>
    <w:p w:rsidR="00000000" w:rsidDel="00000000" w:rsidP="00000000" w:rsidRDefault="00000000" w:rsidRPr="00000000" w14:paraId="0000013B">
      <w:pPr>
        <w:pStyle w:val="Heading3"/>
        <w:rPr/>
      </w:pPr>
      <w:bookmarkStart w:colFirst="0" w:colLast="0" w:name="_64dve7gl7swy" w:id="25"/>
      <w:bookmarkEnd w:id="25"/>
      <w:r w:rsidDel="00000000" w:rsidR="00000000" w:rsidRPr="00000000">
        <w:rPr>
          <w:rtl w:val="0"/>
        </w:rPr>
        <w:t xml:space="preserve">Conformité totale au RGPD</w:t>
      </w:r>
    </w:p>
    <w:p w:rsidR="00000000" w:rsidDel="00000000" w:rsidP="00000000" w:rsidRDefault="00000000" w:rsidRPr="00000000" w14:paraId="0000013C">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Le traitement est conçu conformément au RGPD dès la phase de PoC, avec Arkan en qualité de </w:t>
      </w:r>
      <w:r w:rsidDel="00000000" w:rsidR="00000000" w:rsidRPr="00000000">
        <w:rPr>
          <w:rFonts w:ascii="Poppins" w:cs="Poppins" w:eastAsia="Poppins" w:hAnsi="Poppins"/>
          <w:color w:val="141414"/>
          <w:sz w:val="20"/>
          <w:szCs w:val="20"/>
          <w:rtl w:val="0"/>
        </w:rPr>
        <w:t xml:space="preserve">sous-traitant au sens de l'article 28</w:t>
      </w:r>
      <w:r w:rsidDel="00000000" w:rsidR="00000000" w:rsidRPr="00000000">
        <w:rPr>
          <w:rFonts w:ascii="Poppins" w:cs="Poppins" w:eastAsia="Poppins" w:hAnsi="Poppins"/>
          <w:color w:val="2b2b2b"/>
          <w:sz w:val="20"/>
          <w:szCs w:val="20"/>
          <w:rtl w:val="0"/>
        </w:rPr>
        <w:t xml:space="preserve"> :</w:t>
      </w:r>
    </w:p>
    <w:p w:rsidR="00000000" w:rsidDel="00000000" w:rsidP="00000000" w:rsidRDefault="00000000" w:rsidRPr="00000000" w14:paraId="0000013D">
      <w:pPr>
        <w:numPr>
          <w:ilvl w:val="0"/>
          <w:numId w:val="5"/>
        </w:numPr>
        <w:spacing w:after="75" w:before="280" w:lineRule="auto"/>
        <w:ind w:left="720" w:hanging="360"/>
        <w:rPr>
          <w:color w:val="2b2b2b"/>
        </w:rPr>
      </w:pPr>
      <w:r w:rsidDel="00000000" w:rsidR="00000000" w:rsidRPr="00000000">
        <w:rPr>
          <w:rFonts w:ascii="Poppins" w:cs="Poppins" w:eastAsia="Poppins" w:hAnsi="Poppins"/>
          <w:color w:val="141414"/>
          <w:sz w:val="20"/>
          <w:szCs w:val="20"/>
          <w:rtl w:val="0"/>
        </w:rPr>
        <w:t xml:space="preserve">Accord de traitement (DPA)</w:t>
      </w:r>
      <w:r w:rsidDel="00000000" w:rsidR="00000000" w:rsidRPr="00000000">
        <w:rPr>
          <w:rFonts w:ascii="Poppins" w:cs="Poppins" w:eastAsia="Poppins" w:hAnsi="Poppins"/>
          <w:color w:val="2b2b2b"/>
          <w:sz w:val="20"/>
          <w:szCs w:val="20"/>
          <w:rtl w:val="0"/>
        </w:rPr>
        <w:t xml:space="preserve"> signé avant tout transfert de données, précisant finalités, catégories de données, durées de conservation et instructions documentées de Forvia.</w:t>
      </w:r>
    </w:p>
    <w:p w:rsidR="00000000" w:rsidDel="00000000" w:rsidP="00000000" w:rsidRDefault="00000000" w:rsidRPr="00000000" w14:paraId="0000013E">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Minimisation</w:t>
      </w:r>
      <w:r w:rsidDel="00000000" w:rsidR="00000000" w:rsidRPr="00000000">
        <w:rPr>
          <w:rFonts w:ascii="Poppins" w:cs="Poppins" w:eastAsia="Poppins" w:hAnsi="Poppins"/>
          <w:color w:val="2b2b2b"/>
          <w:sz w:val="20"/>
          <w:szCs w:val="20"/>
          <w:rtl w:val="0"/>
        </w:rPr>
        <w:t xml:space="preserve"> : seules les données nécessaires à l'analyse sont extraites ; aucune donnée n'est utilisée pour entraîner des modèles mutualisés.</w:t>
      </w:r>
    </w:p>
    <w:p w:rsidR="00000000" w:rsidDel="00000000" w:rsidP="00000000" w:rsidRDefault="00000000" w:rsidRPr="00000000" w14:paraId="0000013F">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Localisation</w:t>
      </w:r>
      <w:r w:rsidDel="00000000" w:rsidR="00000000" w:rsidRPr="00000000">
        <w:rPr>
          <w:rFonts w:ascii="Poppins" w:cs="Poppins" w:eastAsia="Poppins" w:hAnsi="Poppins"/>
          <w:color w:val="2b2b2b"/>
          <w:sz w:val="20"/>
          <w:szCs w:val="20"/>
          <w:rtl w:val="0"/>
        </w:rPr>
        <w:t xml:space="preserve"> : données, traitements et sauvegardes hébergés </w:t>
      </w:r>
      <w:r w:rsidDel="00000000" w:rsidR="00000000" w:rsidRPr="00000000">
        <w:rPr>
          <w:rFonts w:ascii="Poppins" w:cs="Poppins" w:eastAsia="Poppins" w:hAnsi="Poppins"/>
          <w:color w:val="141414"/>
          <w:sz w:val="20"/>
          <w:szCs w:val="20"/>
          <w:rtl w:val="0"/>
        </w:rPr>
        <w:t xml:space="preserve">en France / UE</w:t>
      </w:r>
      <w:r w:rsidDel="00000000" w:rsidR="00000000" w:rsidRPr="00000000">
        <w:rPr>
          <w:rFonts w:ascii="Poppins" w:cs="Poppins" w:eastAsia="Poppins" w:hAnsi="Poppins"/>
          <w:color w:val="2b2b2b"/>
          <w:sz w:val="20"/>
          <w:szCs w:val="20"/>
          <w:rtl w:val="0"/>
        </w:rPr>
        <w:t xml:space="preserve">, sans transfert hors UE.</w:t>
      </w:r>
    </w:p>
    <w:p w:rsidR="00000000" w:rsidDel="00000000" w:rsidP="00000000" w:rsidRDefault="00000000" w:rsidRPr="00000000" w14:paraId="00000140">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Durées de conservation</w:t>
      </w:r>
      <w:r w:rsidDel="00000000" w:rsidR="00000000" w:rsidRPr="00000000">
        <w:rPr>
          <w:rFonts w:ascii="Poppins" w:cs="Poppins" w:eastAsia="Poppins" w:hAnsi="Poppins"/>
          <w:color w:val="2b2b2b"/>
          <w:sz w:val="20"/>
          <w:szCs w:val="20"/>
          <w:rtl w:val="0"/>
        </w:rPr>
        <w:t xml:space="preserve"> proposées par type de donnée et validées avec le DPO Forvia ; purge automatique en fin de durée.</w:t>
      </w:r>
    </w:p>
    <w:p w:rsidR="00000000" w:rsidDel="00000000" w:rsidP="00000000" w:rsidRDefault="00000000" w:rsidRPr="00000000" w14:paraId="00000141">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Droits des personnes et registre</w:t>
      </w:r>
      <w:r w:rsidDel="00000000" w:rsidR="00000000" w:rsidRPr="00000000">
        <w:rPr>
          <w:rFonts w:ascii="Poppins" w:cs="Poppins" w:eastAsia="Poppins" w:hAnsi="Poppins"/>
          <w:color w:val="2b2b2b"/>
          <w:sz w:val="20"/>
          <w:szCs w:val="20"/>
          <w:rtl w:val="0"/>
        </w:rPr>
        <w:t xml:space="preserve"> : procédures d'accès / rectification / effacement, inscription au registre des traitements, assistance pour toute analyse d'impact (AIPD) si requise.</w:t>
      </w:r>
    </w:p>
    <w:p w:rsidR="00000000" w:rsidDel="00000000" w:rsidP="00000000" w:rsidRDefault="00000000" w:rsidRPr="00000000" w14:paraId="00000142">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Notification des violations</w:t>
      </w:r>
      <w:r w:rsidDel="00000000" w:rsidR="00000000" w:rsidRPr="00000000">
        <w:rPr>
          <w:rFonts w:ascii="Poppins" w:cs="Poppins" w:eastAsia="Poppins" w:hAnsi="Poppins"/>
          <w:color w:val="2b2b2b"/>
          <w:sz w:val="20"/>
          <w:szCs w:val="20"/>
          <w:rtl w:val="0"/>
        </w:rPr>
        <w:t xml:space="preserve"> sous 72 h avec description, périmètre et mesures correctives.</w:t>
      </w:r>
    </w:p>
    <w:p w:rsidR="00000000" w:rsidDel="00000000" w:rsidP="00000000" w:rsidRDefault="00000000" w:rsidRPr="00000000" w14:paraId="00000143">
      <w:pPr>
        <w:numPr>
          <w:ilvl w:val="0"/>
          <w:numId w:val="5"/>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Réversibilité</w:t>
      </w:r>
      <w:r w:rsidDel="00000000" w:rsidR="00000000" w:rsidRPr="00000000">
        <w:rPr>
          <w:rFonts w:ascii="Poppins" w:cs="Poppins" w:eastAsia="Poppins" w:hAnsi="Poppins"/>
          <w:color w:val="2b2b2b"/>
          <w:sz w:val="20"/>
          <w:szCs w:val="20"/>
          <w:rtl w:val="0"/>
        </w:rPr>
        <w:t xml:space="preserve"> : restitution intégrale en format ouvert documenté puis effacement certifié en fin de contrat.</w:t>
      </w:r>
    </w:p>
    <w:p w:rsidR="00000000" w:rsidDel="00000000" w:rsidP="00000000" w:rsidRDefault="00000000" w:rsidRPr="00000000" w14:paraId="00000144">
      <w:pPr>
        <w:pStyle w:val="Heading3"/>
        <w:rPr>
          <w:b w:val="0"/>
          <w:bCs w:val="0"/>
          <w:sz w:val="20"/>
          <w:szCs w:val="20"/>
        </w:rPr>
      </w:pPr>
      <w:bookmarkStart w:colFirst="0" w:colLast="0" w:name="_f4l3rb3t06c3" w:id="26"/>
      <w:bookmarkEnd w:id="26"/>
      <w:r w:rsidDel="00000000" w:rsidR="00000000" w:rsidRPr="00000000">
        <w:rPr>
          <w:rtl w:val="0"/>
        </w:rPr>
        <w:t xml:space="preserve">Chiffrement des données en transit et au repos</w:t>
      </w:r>
      <w:r w:rsidDel="00000000" w:rsidR="00000000" w:rsidRPr="00000000">
        <w:rPr>
          <w:rtl w:val="0"/>
        </w:rPr>
        <w:br w:type="textWrapping"/>
      </w:r>
      <w:r w:rsidDel="00000000" w:rsidR="00000000" w:rsidRPr="00000000">
        <w:rPr>
          <w:b w:val="0"/>
          <w:bCs w:val="0"/>
          <w:sz w:val="20"/>
          <w:szCs w:val="20"/>
          <w:rtl w:val="0"/>
        </w:rPr>
        <w:t xml:space="preserve">Les attestations d'assurance contiennent des informations contractuelles sensibles sur les fournisseurs de Forvia. La solution applique un chiffrement systématique sur l'ensemble du parcours de la donnée, du dépôt dans SAP Ariba jusqu'à l'archivage des résultats d'analyse.</w:t>
      </w:r>
    </w:p>
    <w:p w:rsidR="00000000" w:rsidDel="00000000" w:rsidP="00000000" w:rsidRDefault="00000000" w:rsidRPr="00000000" w14:paraId="00000145">
      <w:pPr>
        <w:pStyle w:val="Heading3"/>
        <w:numPr>
          <w:ilvl w:val="0"/>
          <w:numId w:val="15"/>
        </w:numPr>
        <w:spacing w:after="0" w:afterAutospacing="0" w:before="240" w:lineRule="auto"/>
        <w:ind w:left="720" w:hanging="360"/>
      </w:pPr>
      <w:bookmarkStart w:colFirst="0" w:colLast="0" w:name="_f4l3rb3t06c3" w:id="26"/>
      <w:bookmarkEnd w:id="26"/>
      <w:r w:rsidDel="00000000" w:rsidR="00000000" w:rsidRPr="00000000">
        <w:rPr>
          <w:b w:val="0"/>
          <w:bCs w:val="0"/>
          <w:sz w:val="20"/>
          <w:szCs w:val="20"/>
          <w:rtl w:val="0"/>
        </w:rPr>
        <w:t xml:space="preserve">En transit : chiffrement TLS 1.3 sur tous les flux d’échanges avec SAP Ariba, appels au moteur d'IA, accès au portail. Aucune connexion non chiffrée n'est acceptée.</w:t>
      </w:r>
    </w:p>
    <w:p w:rsidR="00000000" w:rsidDel="00000000" w:rsidP="00000000" w:rsidRDefault="00000000" w:rsidRPr="00000000" w14:paraId="00000146">
      <w:pPr>
        <w:numPr>
          <w:ilvl w:val="0"/>
          <w:numId w:val="15"/>
        </w:numPr>
        <w:spacing w:after="0" w:afterAutospacing="0"/>
        <w:ind w:left="720" w:hanging="360"/>
      </w:pPr>
      <w:r w:rsidDel="00000000" w:rsidR="00000000" w:rsidRPr="00000000">
        <w:rPr>
          <w:rFonts w:ascii="Poppins" w:cs="Poppins" w:eastAsia="Poppins" w:hAnsi="Poppins"/>
          <w:color w:val="141414"/>
          <w:sz w:val="20"/>
          <w:szCs w:val="20"/>
          <w:rtl w:val="0"/>
        </w:rPr>
        <w:t xml:space="preserve">Jetons d'accès à durée de vie courte, renouvelés automatiquement ; aucun secret ni identifiant transmis en paramètre d'URL.</w:t>
      </w:r>
      <w:r w:rsidDel="00000000" w:rsidR="00000000" w:rsidRPr="00000000">
        <w:rPr>
          <w:rtl w:val="0"/>
        </w:rPr>
      </w:r>
    </w:p>
    <w:p w:rsidR="00000000" w:rsidDel="00000000" w:rsidP="00000000" w:rsidRDefault="00000000" w:rsidRPr="00000000" w14:paraId="00000147">
      <w:pPr>
        <w:pStyle w:val="Heading3"/>
        <w:numPr>
          <w:ilvl w:val="0"/>
          <w:numId w:val="15"/>
        </w:numPr>
        <w:spacing w:after="0" w:afterAutospacing="0" w:before="0" w:beforeAutospacing="0" w:lineRule="auto"/>
        <w:ind w:left="720" w:hanging="360"/>
      </w:pPr>
      <w:bookmarkStart w:colFirst="0" w:colLast="0" w:name="_f4l3rb3t06c3" w:id="26"/>
      <w:bookmarkEnd w:id="26"/>
      <w:r w:rsidDel="00000000" w:rsidR="00000000" w:rsidRPr="00000000">
        <w:rPr>
          <w:b w:val="0"/>
          <w:bCs w:val="0"/>
          <w:sz w:val="20"/>
          <w:szCs w:val="20"/>
          <w:rtl w:val="0"/>
        </w:rPr>
        <w:t xml:space="preserve">Au repos : chiffrement AES-256 des attestations, des données extraites et des résultats de scoring, appliqué au stockage comme à la base de données et aux sauvegardes.</w:t>
      </w:r>
    </w:p>
    <w:p w:rsidR="00000000" w:rsidDel="00000000" w:rsidP="00000000" w:rsidRDefault="00000000" w:rsidRPr="00000000" w14:paraId="00000148">
      <w:pPr>
        <w:pStyle w:val="Heading3"/>
        <w:numPr>
          <w:ilvl w:val="0"/>
          <w:numId w:val="15"/>
        </w:numPr>
        <w:spacing w:after="0" w:afterAutospacing="0" w:before="0" w:beforeAutospacing="0" w:lineRule="auto"/>
        <w:ind w:left="720" w:hanging="360"/>
      </w:pPr>
      <w:bookmarkStart w:colFirst="0" w:colLast="0" w:name="_f4l3rb3t06c3" w:id="26"/>
      <w:bookmarkEnd w:id="26"/>
      <w:r w:rsidDel="00000000" w:rsidR="00000000" w:rsidRPr="00000000">
        <w:rPr>
          <w:b w:val="0"/>
          <w:bCs w:val="0"/>
          <w:sz w:val="20"/>
          <w:szCs w:val="20"/>
          <w:rtl w:val="0"/>
        </w:rPr>
        <w:t xml:space="preserve">Secrets et clés : clés d'API et identifiants gérés dans un coffre-fort dédié, jamais stockés dans le code applicatif.</w:t>
      </w:r>
    </w:p>
    <w:p w:rsidR="00000000" w:rsidDel="00000000" w:rsidP="00000000" w:rsidRDefault="00000000" w:rsidRPr="00000000" w14:paraId="00000149">
      <w:pPr>
        <w:pStyle w:val="Heading3"/>
        <w:numPr>
          <w:ilvl w:val="0"/>
          <w:numId w:val="15"/>
        </w:numPr>
        <w:spacing w:after="0" w:afterAutospacing="0" w:before="0" w:beforeAutospacing="0" w:lineRule="auto"/>
        <w:ind w:left="720" w:hanging="360"/>
      </w:pPr>
      <w:bookmarkStart w:colFirst="0" w:colLast="0" w:name="_f4l3rb3t06c3" w:id="26"/>
      <w:bookmarkEnd w:id="26"/>
      <w:r w:rsidDel="00000000" w:rsidR="00000000" w:rsidRPr="00000000">
        <w:rPr>
          <w:b w:val="0"/>
          <w:bCs w:val="0"/>
          <w:sz w:val="20"/>
          <w:szCs w:val="20"/>
          <w:rtl w:val="0"/>
        </w:rPr>
        <w:t xml:space="preserve">Rétention : suppression des documents originaux à l'issue d'une durée de conservation définie avec Forvia.</w:t>
      </w:r>
    </w:p>
    <w:p w:rsidR="00000000" w:rsidDel="00000000" w:rsidP="00000000" w:rsidRDefault="00000000" w:rsidRPr="00000000" w14:paraId="0000014A">
      <w:pPr>
        <w:pStyle w:val="Heading3"/>
        <w:numPr>
          <w:ilvl w:val="0"/>
          <w:numId w:val="15"/>
        </w:numPr>
        <w:spacing w:after="240" w:before="0" w:beforeAutospacing="0" w:lineRule="auto"/>
        <w:ind w:left="720" w:hanging="360"/>
      </w:pPr>
      <w:bookmarkStart w:colFirst="0" w:colLast="0" w:name="_9ljn5zjdwvu2" w:id="27"/>
      <w:bookmarkEnd w:id="27"/>
      <w:r w:rsidDel="00000000" w:rsidR="00000000" w:rsidRPr="00000000">
        <w:rPr>
          <w:b w:val="0"/>
          <w:bCs w:val="0"/>
          <w:sz w:val="20"/>
          <w:szCs w:val="20"/>
          <w:rtl w:val="0"/>
        </w:rPr>
        <w:t xml:space="preserve">Résidence des données : traitement et stockage dans une région européenne, sans conservation des documents par le fournisseur d'inférence au-delà du traitement.</w:t>
      </w:r>
      <w:r w:rsidDel="00000000" w:rsidR="00000000" w:rsidRPr="00000000">
        <w:rPr>
          <w:rtl w:val="0"/>
        </w:rPr>
      </w:r>
    </w:p>
    <w:p w:rsidR="00000000" w:rsidDel="00000000" w:rsidP="00000000" w:rsidRDefault="00000000" w:rsidRPr="00000000" w14:paraId="0000014B">
      <w:pPr>
        <w:pStyle w:val="Heading3"/>
        <w:rPr/>
      </w:pPr>
      <w:bookmarkStart w:colFirst="0" w:colLast="0" w:name="_15kpc07gi204" w:id="28"/>
      <w:bookmarkEnd w:id="28"/>
      <w:r w:rsidDel="00000000" w:rsidR="00000000" w:rsidRPr="00000000">
        <w:rPr>
          <w:rtl w:val="0"/>
        </w:rPr>
        <w:t xml:space="preserve">Accès restreint aux seuls utilisateurs autorisés</w:t>
      </w:r>
    </w:p>
    <w:p w:rsidR="00000000" w:rsidDel="00000000" w:rsidP="00000000" w:rsidRDefault="00000000" w:rsidRPr="00000000" w14:paraId="0000014C">
      <w:pPr>
        <w:spacing w:after="150" w:lineRule="auto"/>
        <w:rPr>
          <w:rFonts w:ascii="Poppins" w:cs="Poppins" w:eastAsia="Poppins" w:hAnsi="Poppins"/>
          <w:color w:val="2b2b2b"/>
          <w:sz w:val="20"/>
          <w:szCs w:val="20"/>
        </w:rPr>
      </w:pPr>
      <w:r w:rsidDel="00000000" w:rsidR="00000000" w:rsidRPr="00000000">
        <w:rPr>
          <w:rFonts w:ascii="Poppins" w:cs="Poppins" w:eastAsia="Poppins" w:hAnsi="Poppins"/>
          <w:color w:val="2b2b2b"/>
          <w:sz w:val="20"/>
          <w:szCs w:val="20"/>
          <w:rtl w:val="0"/>
        </w:rPr>
        <w:t xml:space="preserve">L'accès à la plateforme (tableau de bord, file de revue, administration des règles) est strictement limité aux utilisateurs habilités par Forvia :</w:t>
      </w:r>
    </w:p>
    <w:p w:rsidR="00000000" w:rsidDel="00000000" w:rsidP="00000000" w:rsidRDefault="00000000" w:rsidRPr="00000000" w14:paraId="0000014D">
      <w:pPr>
        <w:numPr>
          <w:ilvl w:val="0"/>
          <w:numId w:val="6"/>
        </w:numPr>
        <w:spacing w:after="75" w:before="280" w:lineRule="auto"/>
        <w:ind w:left="720" w:hanging="360"/>
        <w:rPr>
          <w:color w:val="2b2b2b"/>
        </w:rPr>
      </w:pPr>
      <w:r w:rsidDel="00000000" w:rsidR="00000000" w:rsidRPr="00000000">
        <w:rPr>
          <w:rFonts w:ascii="Poppins" w:cs="Poppins" w:eastAsia="Poppins" w:hAnsi="Poppins"/>
          <w:color w:val="141414"/>
          <w:sz w:val="20"/>
          <w:szCs w:val="20"/>
          <w:rtl w:val="0"/>
        </w:rPr>
        <w:t xml:space="preserve">Authentification via le SSO Forvia</w:t>
      </w:r>
      <w:r w:rsidDel="00000000" w:rsidR="00000000" w:rsidRPr="00000000">
        <w:rPr>
          <w:rFonts w:ascii="Poppins" w:cs="Poppins" w:eastAsia="Poppins" w:hAnsi="Poppins"/>
          <w:color w:val="2b2b2b"/>
          <w:sz w:val="20"/>
          <w:szCs w:val="20"/>
          <w:rtl w:val="0"/>
        </w:rPr>
        <w:t xml:space="preserve"> (SAML 2.0 / OpenID Connect) - pas de comptes locaux ; le cycle de vie des accès suit l'annuaire d'entreprise.</w:t>
      </w:r>
    </w:p>
    <w:p w:rsidR="00000000" w:rsidDel="00000000" w:rsidP="00000000" w:rsidRDefault="00000000" w:rsidRPr="00000000" w14:paraId="0000014E">
      <w:pPr>
        <w:numPr>
          <w:ilvl w:val="0"/>
          <w:numId w:val="6"/>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Habilitations par rôle (RBAC)</w:t>
      </w:r>
      <w:r w:rsidDel="00000000" w:rsidR="00000000" w:rsidRPr="00000000">
        <w:rPr>
          <w:rFonts w:ascii="Poppins" w:cs="Poppins" w:eastAsia="Poppins" w:hAnsi="Poppins"/>
          <w:color w:val="2b2b2b"/>
          <w:sz w:val="20"/>
          <w:szCs w:val="20"/>
          <w:rtl w:val="0"/>
        </w:rPr>
        <w:t xml:space="preserve"> : consultation (acheteurs), revue et correction (Direction des Assurances), administration du référentiel, administration technique - avec cloisonnement possible par région ou catégorie d'achat.</w:t>
      </w:r>
    </w:p>
    <w:p w:rsidR="00000000" w:rsidDel="00000000" w:rsidP="00000000" w:rsidRDefault="00000000" w:rsidRPr="00000000" w14:paraId="0000014F">
      <w:pPr>
        <w:numPr>
          <w:ilvl w:val="0"/>
          <w:numId w:val="6"/>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Moindre privilège par défaut</w:t>
      </w:r>
      <w:r w:rsidDel="00000000" w:rsidR="00000000" w:rsidRPr="00000000">
        <w:rPr>
          <w:rFonts w:ascii="Poppins" w:cs="Poppins" w:eastAsia="Poppins" w:hAnsi="Poppins"/>
          <w:color w:val="2b2b2b"/>
          <w:sz w:val="20"/>
          <w:szCs w:val="20"/>
          <w:rtl w:val="0"/>
        </w:rPr>
        <w:t xml:space="preserve"> : habilitations nominatives, revue des accès semestrielle proposée.</w:t>
      </w:r>
    </w:p>
    <w:p w:rsidR="00000000" w:rsidDel="00000000" w:rsidP="00000000" w:rsidRDefault="00000000" w:rsidRPr="00000000" w14:paraId="00000150">
      <w:pPr>
        <w:numPr>
          <w:ilvl w:val="0"/>
          <w:numId w:val="6"/>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Journalisation des accès</w:t>
      </w:r>
      <w:r w:rsidDel="00000000" w:rsidR="00000000" w:rsidRPr="00000000">
        <w:rPr>
          <w:rFonts w:ascii="Poppins" w:cs="Poppins" w:eastAsia="Poppins" w:hAnsi="Poppins"/>
          <w:color w:val="2b2b2b"/>
          <w:sz w:val="20"/>
          <w:szCs w:val="20"/>
          <w:rtl w:val="0"/>
        </w:rPr>
        <w:t xml:space="preserve"> : chaque connexion et action est horodatée et tracée dans le journal d'audit, consultable par Forvia.</w:t>
      </w:r>
    </w:p>
    <w:p w:rsidR="00000000" w:rsidDel="00000000" w:rsidP="00000000" w:rsidRDefault="00000000" w:rsidRPr="00000000" w14:paraId="00000151">
      <w:pPr>
        <w:numPr>
          <w:ilvl w:val="0"/>
          <w:numId w:val="6"/>
        </w:numPr>
        <w:spacing w:after="75" w:before="0" w:lineRule="auto"/>
        <w:ind w:left="720" w:hanging="360"/>
        <w:rPr>
          <w:color w:val="2b2b2b"/>
        </w:rPr>
      </w:pPr>
      <w:r w:rsidDel="00000000" w:rsidR="00000000" w:rsidRPr="00000000">
        <w:rPr>
          <w:rFonts w:ascii="Poppins" w:cs="Poppins" w:eastAsia="Poppins" w:hAnsi="Poppins"/>
          <w:color w:val="141414"/>
          <w:sz w:val="20"/>
          <w:szCs w:val="20"/>
          <w:rtl w:val="0"/>
        </w:rPr>
        <w:t xml:space="preserve">Accès techniques encadrés</w:t>
      </w:r>
      <w:r w:rsidDel="00000000" w:rsidR="00000000" w:rsidRPr="00000000">
        <w:rPr>
          <w:rFonts w:ascii="Poppins" w:cs="Poppins" w:eastAsia="Poppins" w:hAnsi="Poppins"/>
          <w:color w:val="2b2b2b"/>
          <w:sz w:val="20"/>
          <w:szCs w:val="20"/>
          <w:rtl w:val="0"/>
        </w:rPr>
        <w:t xml:space="preserve"> : accès d'exploitation Arkan nominatifs, avec MFA, limités à l'équipe projet, journalisés et révocables immédiatement.</w:t>
      </w:r>
    </w:p>
    <w:sectPr>
      <w:headerReference r:id="rId7" w:type="default"/>
      <w:footerReference r:id="rId8"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phie Merdrignac" w:id="0" w:date="2026-08-21T10:04:55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Remarque Konstantin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Engagement contractuel prématuré. Ancrage : "acceptées telles quelles et proposées comme critères de succès contractuels du PoC". S'engager contractuellement à ≥ 90 % avant d'avoir vu l'échantillon, alors que l'existence d'une vérité terrain annotée n'est pas confirmée (Q02), est risqué. Conditionner l'engagement à la constitution de la vérité terrain en cadrage.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 — "≥ 90 % par champ clé" plus strict que la spec. Ancrage : tableau d'engagements. La spec demande un taux global de reconnaissance des champs clés. Un seul champ difficile (date de validité sur scan tamponné) peut faire échouer le critère par champ. Proposer ≥ 90 % en agrégé avec restitution détaillée par champ et par langue, et définir ce qu'est un champ "reconnu" (correspondance exacte ou normalisée).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Réponse : c'est demandé ainsi dans leur exigence, qu'est-ce que l'on fait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left"/>
      <w:rPr>
        <w:rFonts w:ascii="Lexend" w:cs="Lexend" w:eastAsia="Lexend" w:hAnsi="Lexend"/>
        <w:color w:val="999999"/>
        <w:sz w:val="15"/>
        <w:szCs w:val="15"/>
      </w:rPr>
    </w:pPr>
    <w:r w:rsidDel="00000000" w:rsidR="00000000" w:rsidRPr="00000000">
      <w:rPr>
        <w:rFonts w:ascii="Lexend" w:cs="Lexend" w:eastAsia="Lexend" w:hAnsi="Lexend"/>
        <w:color w:val="999999"/>
        <w:sz w:val="15"/>
        <w:szCs w:val="15"/>
        <w:rtl w:val="0"/>
      </w:rPr>
      <w:t xml:space="preserve">Arkan — Technical dossier · Confidential</w:t>
      <w:tab/>
      <w:tab/>
      <w:tab/>
      <w:tab/>
      <w:t xml:space="preserve">Forvia · AI analysis of insurance certificates</w:t>
    </w:r>
  </w:p>
  <w:p w:rsidR="00000000" w:rsidDel="00000000" w:rsidP="00000000" w:rsidRDefault="00000000" w:rsidRPr="00000000" w14:paraId="00000154">
    <w:pPr>
      <w:jc w:val="right"/>
      <w:rPr>
        <w:rFonts w:ascii="Lexend" w:cs="Lexend" w:eastAsia="Lexend" w:hAnsi="Lexend"/>
        <w:color w:val="999999"/>
        <w:sz w:val="15"/>
        <w:szCs w:val="15"/>
      </w:rPr>
    </w:pPr>
    <w:r w:rsidDel="00000000" w:rsidR="00000000" w:rsidRPr="00000000">
      <w:rPr>
        <w:rFonts w:ascii="Lexend" w:cs="Lexend" w:eastAsia="Lexend" w:hAnsi="Lexend"/>
        <w:color w:val="999999"/>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rFonts w:ascii="Poppins" w:cs="Poppins" w:eastAsia="Poppins" w:hAnsi="Poppins"/>
        <w:smallCaps w:val="1"/>
        <w:color w:val="141414"/>
        <w:sz w:val="17"/>
        <w:szCs w:val="17"/>
      </w:rPr>
    </w:pPr>
    <w:r w:rsidDel="00000000" w:rsidR="00000000" w:rsidRPr="00000000">
      <w:rPr>
        <w:rFonts w:ascii="Arial" w:cs="Arial" w:eastAsia="Arial" w:hAnsi="Arial"/>
        <w:sz w:val="21"/>
        <w:szCs w:val="21"/>
      </w:rPr>
      <w:drawing>
        <wp:inline distB="0" distT="0" distL="0" distR="0">
          <wp:extent cx="1294765" cy="353060"/>
          <wp:effectExtent b="0" l="0" r="0" t="0"/>
          <wp:docPr descr="arkan" id="1" name="image1.png"/>
          <a:graphic>
            <a:graphicData uri="http://schemas.openxmlformats.org/drawingml/2006/picture">
              <pic:pic>
                <pic:nvPicPr>
                  <pic:cNvPr descr="arkan" id="0" name="image1.png"/>
                  <pic:cNvPicPr preferRelativeResize="0"/>
                </pic:nvPicPr>
                <pic:blipFill>
                  <a:blip r:embed="rId1"/>
                  <a:srcRect b="0" l="0" r="0" t="0"/>
                  <a:stretch>
                    <a:fillRect/>
                  </a:stretch>
                </pic:blipFill>
                <pic:spPr>
                  <a:xfrm>
                    <a:off x="0" y="0"/>
                    <a:ext cx="1294765" cy="353060"/>
                  </a:xfrm>
                  <a:prstGeom prst="rect"/>
                  <a:ln/>
                </pic:spPr>
              </pic:pic>
            </a:graphicData>
          </a:graphic>
        </wp:inline>
      </w:drawing>
    </w:r>
    <w:r w:rsidDel="00000000" w:rsidR="00000000" w:rsidRPr="00000000">
      <w:rPr>
        <w:rFonts w:ascii="Poppins" w:cs="Poppins" w:eastAsia="Poppins" w:hAnsi="Poppins"/>
        <w:smallCaps w:val="1"/>
        <w:color w:val="141414"/>
        <w:sz w:val="17"/>
        <w:szCs w:val="17"/>
        <w:rtl w:val="0"/>
      </w:rPr>
      <w:t xml:space="preserve"> </w:t>
      <w:tab/>
      <w:tab/>
      <w:tab/>
      <w:tab/>
      <w:tab/>
      <w:tab/>
      <w:t xml:space="preserve">DOSSIER TECHNIQUE · CONFIDENTIEL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90" w:lineRule="auto"/>
    </w:pPr>
    <w:rPr>
      <w:rFonts w:ascii="Poppins" w:cs="Poppins" w:eastAsia="Poppins" w:hAnsi="Poppins"/>
      <w:b w:val="1"/>
      <w:bCs w:val="1"/>
      <w:color w:val="141414"/>
      <w:sz w:val="57"/>
      <w:szCs w:val="57"/>
    </w:rPr>
  </w:style>
  <w:style w:type="paragraph" w:styleId="Heading2">
    <w:name w:val="heading 2"/>
    <w:basedOn w:val="Normal"/>
    <w:next w:val="Normal"/>
    <w:pPr>
      <w:pBdr>
        <w:bottom w:color="ffd400" w:space="6" w:sz="18" w:val="single"/>
      </w:pBdr>
      <w:spacing w:after="180" w:before="510" w:lineRule="auto"/>
    </w:pPr>
    <w:rPr>
      <w:rFonts w:ascii="Poppins" w:cs="Poppins" w:eastAsia="Poppins" w:hAnsi="Poppins"/>
      <w:b w:val="1"/>
      <w:bCs w:val="1"/>
      <w:color w:val="141414"/>
      <w:sz w:val="29"/>
      <w:szCs w:val="29"/>
    </w:rPr>
  </w:style>
  <w:style w:type="paragraph" w:styleId="Heading3">
    <w:name w:val="heading 3"/>
    <w:basedOn w:val="Normal"/>
    <w:next w:val="Normal"/>
    <w:pPr>
      <w:spacing w:after="120" w:before="330" w:lineRule="auto"/>
    </w:pPr>
    <w:rPr>
      <w:rFonts w:ascii="Poppins" w:cs="Poppins" w:eastAsia="Poppins" w:hAnsi="Poppins"/>
      <w:b w:val="1"/>
      <w:bCs w:val="1"/>
      <w:color w:val="141414"/>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90" w:lineRule="auto"/>
    </w:pPr>
    <w:rPr>
      <w:rFonts w:ascii="Poppins" w:cs="Poppins" w:eastAsia="Poppins" w:hAnsi="Poppins"/>
      <w:b w:val="1"/>
      <w:bCs w:val="1"/>
      <w:color w:val="141414"/>
      <w:sz w:val="57"/>
      <w:szCs w:val="5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FiraMono-bold.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4" Type="http://schemas.openxmlformats.org/officeDocument/2006/relationships/font" Target="fonts/Lexend-bold.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