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tbl>
      <w:tblPr>
        <w:tblW w:w="5000" w:type="pct"/>
        <w:tblLayout w:type="fixed"/>
        <w:tblStyle w:val="TabBandeau"/>
        <w:tblLook w:firstRow="0" w:lastRow="0" w:firstColumn="0" w:lastColumn="0" w:noHBand="0" w:noVBand="0" w:val="0000"/>
      </w:tblPr>
      <w:tblGrid>
        <w:gridCol w:w="3187"/>
        <w:gridCol w:w="6451"/>
      </w:tblGrid>
      <w:tr>
        <w:trPr>
          <w:cantSplit/>
        </w:trPr>
        <w:tc>
          <w:tcPr>
            <w:tcW w:w="3187" w:type="dxa"/>
          </w:tcPr>
          <w:tcPr/>
          <w:p>
            <w:pPr>
              <w:pStyle w:val="FirstParagraph"/>
            </w:pPr>
            <w:r>
              <w:rPr>
                <w:b/>
                <w:bCs/>
              </w:rPr>
              <w:t xml:space="preserve">BTS FED : Option C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Domotique &amp; réseaux</w:t>
            </w:r>
          </w:p>
        </w:tc>
        <w:tc>
          <w:tcPr>
            <w:tcW w:w="6451" w:type="dxa"/>
          </w:tcPr>
          <w:tcPr/>
          <w:p>
            <w:pPr>
              <w:pStyle w:val="BodyText"/>
            </w:pPr>
            <w:r>
              <w:rPr>
                <w:b/>
                <w:bCs/>
              </w:rPr>
              <w:t xml:space="preserve">Domotique : progression de 1re année</w:t>
            </w:r>
          </w:p>
          <w:p>
            <w:pPr>
              <w:pStyle w:val="BodyText"/>
            </w:pPr>
            <w:r>
              <w:rPr>
                <w:b/>
                <w:bCs/>
              </w:rPr>
              <w:t xml:space="preserve">Deux fils · 26 semaines · 3 h + 4 h : 182 heures</w:t>
            </w:r>
          </w:p>
        </w:tc>
      </w:tr>
    </w:tbl>
    <w:bookmarkStart w:id="24" w:name="ce-sur-quoi-cette-progression-est-bâtie"/>
    <w:p>
      <w:pPr>
        <w:pStyle w:val="Heading1"/>
      </w:pPr>
      <w:r>
        <w:t xml:space="preserve">Ce sur quoi cette progression est bâtie</w:t>
      </w:r>
    </w:p>
    <w:p>
      <w:pPr>
        <w:pStyle w:val="FirstParagraph"/>
      </w:pPr>
      <w:r>
        <w:rPr>
          <w:b/>
          <w:bCs/>
        </w:rPr>
        <w:t xml:space="preserve">Sept heures par semaine, deux enseignants, et l’ensemble des savoirs de domotique</w:t>
      </w:r>
      <w:r>
        <w:rPr>
          <w:b/>
          <w:bCs/>
        </w:rPr>
        <w:t xml:space="preserve"> </w:t>
      </w:r>
      <w:r>
        <w:rPr>
          <w:b/>
          <w:bCs/>
        </w:rPr>
        <w:t xml:space="preserve">traités dès la première année.</w:t>
      </w:r>
      <w:r>
        <w:t xml:space="preserve"> </w:t>
      </w:r>
      <w:r>
        <w:t xml:space="preserve">Telles sont les trois consignes de départ. Avec</w:t>
      </w:r>
      <w:r>
        <w:t xml:space="preserve"> </w:t>
      </w:r>
      <w:r>
        <w:t xml:space="preserve">182 heures au lieu de 104, elles peuvent être respectées sans difficulté : chaque domaine</w:t>
      </w:r>
      <w:r>
        <w:t xml:space="preserve"> </w:t>
      </w:r>
      <w:r>
        <w:t xml:space="preserve">d’application dispose de sa propre séance, et les quatre regroupements de la version</w:t>
      </w:r>
      <w:r>
        <w:t xml:space="preserve"> </w:t>
      </w:r>
      <w:r>
        <w:t xml:space="preserve">précédente sont supprimés.</w:t>
      </w:r>
    </w:p>
    <w:bookmarkStart w:id="20" w:name="le-partage-des-sept-heures"/>
    <w:p>
      <w:pPr>
        <w:keepNext/>
        <w:pStyle w:val="Heading2"/>
      </w:pPr>
      <w:r>
        <w:t xml:space="preserve">Le partage des sept heures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525"/>
        <w:gridCol w:w="1525"/>
        <w:gridCol w:w="6588"/>
      </w:tblGrid>
      <w:tr>
        <w:trPr>
          <w:cantSplit/>
          <w:tblHeader w:val="on"/>
        </w:trPr>
        <w:tc>
          <w:tcPr>
            <w:tcW w:w="1525" w:type="dxa"/>
          </w:tcPr>
          <w:tcPr/>
          <w:p>
            <w:pPr>
              <w:keepNext/>
              <w:pStyle w:val="Compact"/>
            </w:pPr>
            <w:r>
              <w:t xml:space="preserve">Fil</w:t>
            </w:r>
          </w:p>
        </w:tc>
        <w:tc>
          <w:tcPr>
            <w:tcW w:w="1525" w:type="dxa"/>
          </w:tcPr>
          <w:tcPr/>
          <w:p>
            <w:pPr>
              <w:keepNext/>
              <w:pStyle w:val="Compact"/>
            </w:pPr>
            <w:r>
              <w:t xml:space="preserve">Durée</w:t>
            </w:r>
          </w:p>
        </w:tc>
        <w:tc>
          <w:tcPr>
            <w:tcW w:w="6588" w:type="dxa"/>
          </w:tcPr>
          <w:tcPr/>
          <w:p>
            <w:pPr>
              <w:keepNext/>
              <w:pStyle w:val="Compact"/>
            </w:pPr>
            <w:r>
              <w:t xml:space="preserve">Ce qu’on y fait</w:t>
            </w:r>
          </w:p>
        </w:tc>
      </w:tr>
      <w:tr>
        <w:trPr>
          <w:cantSplit/>
        </w:trPr>
        <w:tc>
          <w:tcPr>
            <w:tcW w:w="152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A : études</w:t>
            </w:r>
          </w:p>
        </w:tc>
        <w:tc>
          <w:tcPr>
            <w:tcW w:w="152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3 h</w:t>
            </w:r>
          </w:p>
        </w:tc>
        <w:tc>
          <w:tcPr>
            <w:tcW w:w="6588" w:type="dxa"/>
          </w:tcPr>
          <w:tcPr/>
          <w:p>
            <w:pPr>
              <w:keepNext/>
              <w:pStyle w:val="Compact"/>
            </w:pPr>
            <w:r>
              <w:t xml:space="preserve">analyser, décoder un dossier, choisir, dimensionner, calculer</w:t>
            </w:r>
          </w:p>
        </w:tc>
      </w:tr>
      <w:tr>
        <w:trPr>
          <w:cantSplit/>
        </w:trPr>
        <w:tc>
          <w:tcPr>
            <w:tcW w:w="15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B : atelier</w:t>
            </w:r>
          </w:p>
        </w:tc>
        <w:tc>
          <w:tcPr>
            <w:tcW w:w="15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4 h</w:t>
            </w:r>
          </w:p>
        </w:tc>
        <w:tc>
          <w:tcPr>
            <w:tcW w:w="6588" w:type="dxa"/>
          </w:tcPr>
          <w:tcPr/>
          <w:p>
            <w:pPr>
              <w:pStyle w:val="Compact"/>
            </w:pPr>
            <w:r>
              <w:t xml:space="preserve">câbler, programmer, mettre en service, mesurer, diagnostiquer</w:t>
            </w:r>
          </w:p>
        </w:tc>
      </w:tr>
    </w:tbl>
    <w:p>
      <w:pPr>
        <w:pStyle w:val="BodyText"/>
      </w:pPr>
      <w:r>
        <w:rPr>
          <w:b/>
          <w:bCs/>
        </w:rPr>
        <w:t xml:space="preserve">Ce découpage est celui du référentiel.</w:t>
      </w:r>
      <w:r>
        <w:t xml:space="preserve"> </w:t>
      </w:r>
      <w:r>
        <w:t xml:space="preserve">La grille horaire officielle répartit les</w:t>
      </w:r>
      <w:r>
        <w:t xml:space="preserve"> </w:t>
      </w:r>
      <w:r>
        <w:t xml:space="preserve">enseignements techniques en</w:t>
      </w:r>
      <w:r>
        <w:t xml:space="preserve"> </w:t>
      </w:r>
      <w:r>
        <w:rPr>
          <w:rStyle w:val="VerbatimChar"/>
        </w:rPr>
        <w:t xml:space="preserve">a + b + c</w:t>
      </w:r>
      <w:r>
        <w:t xml:space="preserve">, cours en division entière, travaux dirigés</w:t>
      </w:r>
      <w:r>
        <w:t xml:space="preserve"> </w:t>
      </w:r>
      <w:r>
        <w:t xml:space="preserve">en effectif réduit, travaux pratiques par groupes d’atelier. Le fil A couvre</w:t>
      </w:r>
      <w:r>
        <w:t xml:space="preserve"> </w:t>
      </w:r>
      <w:r>
        <w:rPr>
          <w:rStyle w:val="VerbatimChar"/>
        </w:rPr>
        <w:t xml:space="preserve">a + b</w:t>
      </w:r>
      <w:r>
        <w:t xml:space="preserve">,</w:t>
      </w:r>
      <w:r>
        <w:t xml:space="preserve"> </w:t>
      </w:r>
      <w:r>
        <w:t xml:space="preserve">le fil B couvre</w:t>
      </w:r>
      <w:r>
        <w:t xml:space="preserve"> </w:t>
      </w:r>
      <w:r>
        <w:rPr>
          <w:rStyle w:val="VerbatimChar"/>
        </w:rPr>
        <w:t xml:space="preserve">c</w:t>
      </w:r>
      <w:r>
        <w:t xml:space="preserve">.</w:t>
      </w:r>
      <w:r>
        <w:t xml:space="preserve"> </w:t>
      </w:r>
      <w:r>
        <w:rPr>
          <w:b/>
          <w:bCs/>
        </w:rPr>
        <w:t xml:space="preserve">Le fil B dispose des 4 h, et ce choix est impératif : la</w:t>
      </w:r>
      <w:r>
        <w:rPr>
          <w:b/>
          <w:bCs/>
        </w:rPr>
        <w:t xml:space="preserve"> </w:t>
      </w:r>
      <w:r>
        <w:rPr>
          <w:b/>
          <w:bCs/>
        </w:rPr>
        <w:t xml:space="preserve">situation de CCF dure 4 heures</w:t>
      </w:r>
      <w:r>
        <w:t xml:space="preserve">, et un créneau de trois heures ne permettrait pas de</w:t>
      </w:r>
      <w:r>
        <w:t xml:space="preserve"> </w:t>
      </w:r>
      <w:r>
        <w:t xml:space="preserve">l’accueillir.</w:t>
      </w:r>
    </w:p>
    <w:p>
      <w:pPr>
        <w:pStyle w:val="BodyText"/>
      </w:pPr>
      <w:r>
        <w:rPr>
          <w:b/>
          <w:bCs/>
        </w:rPr>
        <w:t xml:space="preserve">Règle de couplage : le fil A précède le fil B d’une à trois semaines.</w:t>
      </w:r>
      <w:r>
        <w:t xml:space="preserve"> </w:t>
      </w:r>
      <w:r>
        <w:t xml:space="preserve">Le système est</w:t>
      </w:r>
      <w:r>
        <w:t xml:space="preserve"> </w:t>
      </w:r>
      <w:r>
        <w:t xml:space="preserve">étudié avant d’être monté. Le décalage s’accroît autour de la semaine 18, où le fil B</w:t>
      </w:r>
      <w:r>
        <w:t xml:space="preserve"> </w:t>
      </w:r>
      <w:r>
        <w:t xml:space="preserve">suit sa propre séquence de préparation au CCF pendant que le fil A ouvre la sûreté ;</w:t>
      </w:r>
      <w:r>
        <w:t xml:space="preserve"> </w:t>
      </w:r>
      <w:r>
        <w:t xml:space="preserve">les deux se resynchronisent en semaine 24.</w:t>
      </w:r>
    </w:p>
    <w:bookmarkEnd w:id="20"/>
    <w:bookmarkStart w:id="21" w:name="X510db124f54c0b0784f2df17b77d2ee92232b93"/>
    <w:p>
      <w:pPr>
        <w:pStyle w:val="Heading2"/>
      </w:pPr>
      <w:r>
        <w:t xml:space="preserve">Une échéance datée, et elle commande tout le fil B</w:t>
      </w:r>
    </w:p>
    <w:p>
      <w:pPr>
        <w:keepNext/>
        <w:pStyle w:val="FirstParagraph"/>
      </w:pPr>
      <w:r>
        <w:rPr>
          <w:b/>
          <w:bCs/>
        </w:rPr>
        <w:t xml:space="preserve">La première situation de CCF de l’épreuve E5 doit être réalisée avant la fin de la</w:t>
      </w:r>
      <w:r>
        <w:rPr>
          <w:b/>
          <w:bCs/>
        </w:rPr>
        <w:t xml:space="preserve"> </w:t>
      </w:r>
      <w:r>
        <w:rPr>
          <w:b/>
          <w:bCs/>
        </w:rPr>
        <w:t xml:space="preserve">première année.</w:t>
      </w:r>
      <w:r>
        <w:t xml:space="preserve"> </w:t>
      </w:r>
      <w:r>
        <w:t xml:space="preserve">Il ne s’agit pas d’une recommandation : le référentiel l’impose,</w:t>
      </w:r>
      <w:r>
        <w:t xml:space="preserve"> </w:t>
      </w:r>
      <w:r>
        <w:t xml:space="preserve">page 105.</w:t>
      </w:r>
      <w:r>
        <w:t xml:space="preserve"> </w:t>
      </w:r>
      <w:r>
        <w:t xml:space="preserve">Elle contrôle la seule compétence</w:t>
      </w:r>
      <w:r>
        <w:t xml:space="preserve"> </w:t>
      </w:r>
      <w:r>
        <w:rPr>
          <w:b/>
          <w:bCs/>
        </w:rPr>
        <w:t xml:space="preserve">C7, réaliser des essais, des mesures</w:t>
      </w:r>
      <w:r>
        <w:t xml:space="preserve">, et E5</w:t>
      </w:r>
      <w:r>
        <w:t xml:space="preserve"> </w:t>
      </w:r>
      <w:r>
        <w:t xml:space="preserve">pèse</w:t>
      </w:r>
      <w:r>
        <w:t xml:space="preserve"> </w:t>
      </w:r>
      <w:r>
        <w:rPr>
          <w:b/>
          <w:bCs/>
        </w:rPr>
        <w:t xml:space="preserve">coefficient 5</w:t>
      </w:r>
      <w:r>
        <w:t xml:space="preserve">, autant que la conduite de projet et davantage que U41.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2895"/>
        <w:gridCol w:w="1134"/>
        <w:gridCol w:w="1134"/>
        <w:gridCol w:w="4475"/>
      </w:tblGrid>
      <w:tr>
        <w:trPr>
          <w:cantSplit/>
          <w:tblHeader w:val="on"/>
        </w:trPr>
        <w:tc>
          <w:tcPr>
            <w:tcW w:w="2895" w:type="dxa"/>
          </w:tcPr>
          <w:tcPr/>
          <w:p>
            <w:pPr>
              <w:keepNext/>
              <w:pStyle w:val="Compact"/>
            </w:pPr>
            <w:r>
              <w:t xml:space="preserve">Épreuve</w:t>
            </w:r>
          </w:p>
        </w:tc>
        <w:tc>
          <w:tcPr>
            <w:tcW w:w="1134" w:type="dxa"/>
          </w:tcPr>
          <w:tcPr/>
          <w:p>
            <w:pPr>
              <w:keepNext/>
              <w:pStyle w:val="Compact"/>
            </w:pPr>
            <w:r>
              <w:t xml:space="preserve">Unité</w:t>
            </w:r>
          </w:p>
        </w:tc>
        <w:tc>
          <w:tcPr>
            <w:tcW w:w="1134" w:type="dxa"/>
          </w:tcPr>
          <w:tcPr/>
          <w:p>
            <w:pPr>
              <w:keepNext/>
              <w:pStyle w:val="Compact"/>
            </w:pPr>
            <w:r>
              <w:t xml:space="preserve">Coef.</w:t>
            </w:r>
          </w:p>
        </w:tc>
        <w:tc>
          <w:tcPr>
            <w:tcW w:w="4475" w:type="dxa"/>
          </w:tcPr>
          <w:tcPr/>
          <w:p>
            <w:pPr>
              <w:keepNext/>
              <w:pStyle w:val="Compact"/>
            </w:pPr>
            <w:r>
              <w:t xml:space="preserve">Ce que la 1re année lui doit</w:t>
            </w:r>
          </w:p>
        </w:tc>
      </w:tr>
      <w:tr>
        <w:trPr>
          <w:cantSplit/>
        </w:trPr>
        <w:tc>
          <w:tcPr>
            <w:tcW w:w="289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E5 Interventions sur les systèmes</w:t>
            </w:r>
          </w:p>
        </w:tc>
        <w:tc>
          <w:tcPr>
            <w:tcW w:w="1134" w:type="dxa"/>
          </w:tcPr>
          <w:tcPr/>
          <w:p>
            <w:pPr>
              <w:keepNext/>
              <w:pStyle w:val="Compact"/>
            </w:pPr>
            <w:r>
              <w:t xml:space="preserve">U5</w:t>
            </w:r>
          </w:p>
        </w:tc>
        <w:tc>
          <w:tcPr>
            <w:tcW w:w="113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w="447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la situation 1, C7, avant la fin de l’année</w:t>
            </w:r>
          </w:p>
        </w:tc>
      </w:tr>
      <w:tr>
        <w:trPr>
          <w:cantSplit/>
        </w:trPr>
        <w:tc>
          <w:tcPr>
            <w:tcW w:w="2895" w:type="dxa"/>
          </w:tcPr>
          <w:tcPr/>
          <w:p>
            <w:pPr>
              <w:keepNext/>
              <w:pStyle w:val="Compact"/>
            </w:pPr>
            <w:r>
              <w:t xml:space="preserve">E4 Étude des systèmes</w:t>
            </w:r>
          </w:p>
        </w:tc>
        <w:tc>
          <w:tcPr>
            <w:tcW w:w="1134" w:type="dxa"/>
          </w:tcPr>
          <w:tcPr/>
          <w:p>
            <w:pPr>
              <w:keepNext/>
              <w:pStyle w:val="Compact"/>
            </w:pPr>
            <w:r>
              <w:t xml:space="preserve">U41</w:t>
            </w:r>
          </w:p>
        </w:tc>
        <w:tc>
          <w:tcPr>
            <w:tcW w:w="1134" w:type="dxa"/>
          </w:tcPr>
          <w:tcPr/>
          <w:p>
            <w:pPr>
              <w:keepNext/>
              <w:pStyle w:val="Compact"/>
            </w:pPr>
            <w:r>
              <w:t xml:space="preserve">4</w:t>
            </w:r>
          </w:p>
        </w:tc>
        <w:tc>
          <w:tcPr>
            <w:tcW w:w="4475" w:type="dxa"/>
          </w:tcPr>
          <w:tcPr/>
          <w:p>
            <w:pPr>
              <w:keepNext/>
              <w:pStyle w:val="Compact"/>
            </w:pPr>
            <w:r>
              <w:t xml:space="preserve">B8, B11, B9 : 22 % de l’écrit</w:t>
            </w:r>
          </w:p>
        </w:tc>
      </w:tr>
      <w:tr>
        <w:trPr>
          <w:cantSplit/>
        </w:trPr>
        <w:tc>
          <w:tcPr>
            <w:tcW w:w="2895" w:type="dxa"/>
          </w:tcPr>
          <w:tcPr/>
          <w:p>
            <w:pPr>
              <w:pStyle w:val="Compact"/>
            </w:pPr>
            <w:r>
              <w:t xml:space="preserve">E6 Conduite de projet</w:t>
            </w:r>
          </w:p>
        </w:tc>
        <w:tc>
          <w:tcPr>
            <w:tcW w:w="1134" w:type="dxa"/>
          </w:tcPr>
          <w:tcPr/>
          <w:p>
            <w:pPr>
              <w:pStyle w:val="Compact"/>
            </w:pPr>
            <w:r>
              <w:t xml:space="preserve">U61</w:t>
            </w:r>
          </w:p>
        </w:tc>
        <w:tc>
          <w:tcPr>
            <w:tcW w:w="1134" w:type="dxa"/>
          </w:tcPr>
          <w:tcPr/>
          <w:p>
            <w:pPr>
              <w:pStyle w:val="Compact"/>
            </w:pPr>
            <w:r>
              <w:t xml:space="preserve">5</w:t>
            </w:r>
          </w:p>
        </w:tc>
        <w:tc>
          <w:tcPr>
            <w:tcW w:w="4475" w:type="dxa"/>
          </w:tcPr>
          <w:tcPr/>
          <w:p>
            <w:pPr>
              <w:pStyle w:val="Compact"/>
            </w:pPr>
            <w:r>
              <w:t xml:space="preserve">les dossiers d’installation, la notice, les relevés</w:t>
            </w:r>
          </w:p>
        </w:tc>
      </w:tr>
    </w:tbl>
    <w:p>
      <w:pPr>
        <w:pStyle w:val="BodyText"/>
      </w:pPr>
      <w:r>
        <w:rPr>
          <w:b/>
          <w:bCs/>
        </w:rPr>
        <w:t xml:space="preserve">Elle est placée en semaine 18, sur le fil B</w:t>
      </w:r>
      <w:r>
        <w:t xml:space="preserve">, ce qui laisse huit semaines de marge</w:t>
      </w:r>
      <w:r>
        <w:t xml:space="preserve"> </w:t>
      </w:r>
      <w:r>
        <w:t xml:space="preserve">pour faire face à un apprenti absent, à un système en panne ou à une situation à refaire.</w:t>
      </w:r>
      <w:r>
        <w:t xml:space="preserve"> </w:t>
      </w:r>
      <w:r>
        <w:rPr>
          <w:b/>
          <w:bCs/>
        </w:rPr>
        <w:t xml:space="preserve">Il convient de ne pas la placer en fin d’année</w:t>
      </w:r>
      <w:r>
        <w:t xml:space="preserve"> </w:t>
      </w:r>
      <w:r>
        <w:t xml:space="preserve">: en juin, aucun rattrapage n’est plus</w:t>
      </w:r>
      <w:r>
        <w:t xml:space="preserve"> </w:t>
      </w:r>
      <w:r>
        <w:t xml:space="preserve">possible, et une note manquante sur un coefficient 5 ne peut pas être compensée.</w:t>
      </w:r>
    </w:p>
    <w:p>
      <w:pPr>
        <w:pStyle w:val="BodyText"/>
      </w:pPr>
      <w:r>
        <w:rPr>
          <w:b/>
          <w:bCs/>
        </w:rPr>
        <w:t xml:space="preserve">Le fil B lui consacre quatre semaines d’affilée</w:t>
      </w:r>
      <w:r>
        <w:t xml:space="preserve"> </w:t>
      </w:r>
      <w:r>
        <w:t xml:space="preserve">: mesurer (15), diagnostiquer</w:t>
      </w:r>
      <w:r>
        <w:t xml:space="preserve"> </w:t>
      </w:r>
      <w:r>
        <w:t xml:space="preserve">(16), conduire une procédure complète à blanc (17), puis la situation (18). Le fil A</w:t>
      </w:r>
      <w:r>
        <w:t xml:space="preserve"> </w:t>
      </w:r>
      <w:r>
        <w:t xml:space="preserve">apporte la méthode en semaines 14 et 15, puis prend de l’avance sur la sûreté.</w:t>
      </w:r>
    </w:p>
    <w:bookmarkEnd w:id="21"/>
    <w:bookmarkStart w:id="22" w:name="Xeac4400c886879d095e5ff6117b85879418369a"/>
    <w:p>
      <w:pPr>
        <w:pStyle w:val="Heading2"/>
      </w:pPr>
      <w:r>
        <w:t xml:space="preserve">Ce que le référentiel donne à l’option C, et à elle seule</w:t>
      </w:r>
    </w:p>
    <w:p>
      <w:pPr>
        <w:keepNext/>
        <w:pStyle w:val="FirstParagraph"/>
      </w:pPr>
      <w:r>
        <w:t xml:space="preserve">Les savoirs de domotique figurent aux sections</w:t>
      </w:r>
      <w:r>
        <w:t xml:space="preserve"> </w:t>
      </w:r>
      <w:r>
        <w:rPr>
          <w:b/>
          <w:bCs/>
        </w:rPr>
        <w:t xml:space="preserve">B8</w:t>
      </w:r>
      <w:r>
        <w:t xml:space="preserve">,</w:t>
      </w:r>
      <w:r>
        <w:t xml:space="preserve"> </w:t>
      </w:r>
      <w:r>
        <w:rPr>
          <w:b/>
          <w:bCs/>
        </w:rPr>
        <w:t xml:space="preserve">C</w:t>
      </w:r>
      <w:r>
        <w:t xml:space="preserve"> </w:t>
      </w:r>
      <w:r>
        <w:t xml:space="preserve">et</w:t>
      </w:r>
      <w:r>
        <w:t xml:space="preserve"> </w:t>
      </w:r>
      <w:r>
        <w:rPr>
          <w:b/>
          <w:bCs/>
        </w:rPr>
        <w:t xml:space="preserve">D</w:t>
      </w:r>
      <w:r>
        <w:t xml:space="preserve"> </w:t>
      </w:r>
      <w:r>
        <w:t xml:space="preserve">du référentiel,</w:t>
      </w:r>
      <w:r>
        <w:t xml:space="preserve"> </w:t>
      </w:r>
      <w:r>
        <w:t xml:space="preserve">pages 71 à 74, et non dans le</w:t>
      </w:r>
      <w:r>
        <w:t xml:space="preserve"> </w:t>
      </w:r>
      <w:r>
        <w:rPr>
          <w:rStyle w:val="VerbatimChar"/>
        </w:rPr>
        <w:t xml:space="preserve">bts-fed-c-u41.yml</w:t>
      </w:r>
      <w:r>
        <w:t xml:space="preserve">, qui ne porte que les savoirs A</w:t>
      </w:r>
      <w:r>
        <w:t xml:space="preserve"> </w:t>
      </w:r>
      <w:r>
        <w:t xml:space="preserve">et B. Le tableau ci-dessous a été relevé colonne par colonne.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003"/>
        <w:gridCol w:w="5490"/>
        <w:gridCol w:w="1003"/>
        <w:gridCol w:w="1003"/>
        <w:gridCol w:w="1139"/>
      </w:tblGrid>
      <w:tr>
        <w:trPr>
          <w:cantSplit/>
          <w:tblHeader w:val="on"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Savoir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t xml:space="preserve">Intitulé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GCF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FCA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DBC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B8-1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t xml:space="preserve">Architecture, constituants, types de signaux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3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3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B8-1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Standards de communication, protocoles, topologie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0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0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B8-1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t xml:space="preserve">Outils de description, analyse fonctionnelle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3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3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B8-2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Dix domaines d’application</w:t>
            </w:r>
            <w:r>
              <w:t xml:space="preserve">, de l’accès au multimédia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0 à 3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0 à 3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B6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t xml:space="preserve">Photovoltaïque · éolien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 · 1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 · 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B7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t xml:space="preserve">Éclairage intérieur et extérieur, asservissement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0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B9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t xml:space="preserve">Comptage des énergies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B10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t xml:space="preserve">Piles, accumulateurs · alimentations secourues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 · 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B11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t xml:space="preserve">Régulation, boucles, modes d’action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3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3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C1-1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t xml:space="preserve">Distribution BT, schémas ·</w:t>
            </w:r>
            <w:r>
              <w:t xml:space="preserve"> </w:t>
            </w:r>
            <w:r>
              <w:rPr>
                <w:b/>
                <w:bCs/>
              </w:rPr>
              <w:t xml:space="preserve">TGBT communicant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 · 1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 · 1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t xml:space="preserve">2 ·</w:t>
            </w:r>
            <w:r>
              <w:t xml:space="preserve"> </w:t>
            </w: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C2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t xml:space="preserve">Moteurs, variation de vitesse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1 · 2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 · 2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C3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Tarification · délestage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 · 1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 · 1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 · 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D1-1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Médias : bus, RF, CPL, fibre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D1-2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Standards et protocoles métier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D2-1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Réseaux informatiques</w:t>
            </w:r>
            <w:r>
              <w:t xml:space="preserve"> </w:t>
            </w:r>
            <w:r>
              <w:t xml:space="preserve">: matériel · logiciel · CEM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1 · 0 · 0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1 · 0 · 0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  <w:r>
              <w:t xml:space="preserve"> </w:t>
            </w:r>
            <w:r>
              <w:t xml:space="preserve">· 2 · 2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D2-2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VDI, voix-données-images</w:t>
            </w:r>
            <w:r>
              <w:t xml:space="preserve"> </w:t>
            </w:r>
            <w:r>
              <w:t xml:space="preserve">: matériel · logiciel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1 · 0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1 · 0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 · 3</w:t>
            </w:r>
          </w:p>
        </w:tc>
      </w:tr>
      <w:tr>
        <w:trPr>
          <w:cantSplit/>
        </w:trPr>
        <w:tc>
          <w:tcPr>
            <w:tcW w:w="1003" w:type="dxa"/>
          </w:tcPr>
          <w:tcPr/>
          <w:p>
            <w:pPr>
              <w:pStyle w:val="Compact"/>
            </w:pPr>
            <w:r>
              <w:t xml:space="preserve">D2-3</w:t>
            </w:r>
          </w:p>
        </w:tc>
        <w:tc>
          <w:tcPr>
            <w:tcW w:w="549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Téléphonie numérique et IP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0</w:t>
            </w:r>
          </w:p>
        </w:tc>
        <w:tc>
          <w:tcPr>
            <w:tcW w:w="1003" w:type="dxa"/>
          </w:tcPr>
          <w:tcPr/>
          <w:p>
            <w:pPr>
              <w:pStyle w:val="Compact"/>
            </w:pPr>
            <w:r>
              <w:t xml:space="preserve">0</w:t>
            </w:r>
          </w:p>
        </w:tc>
        <w:tc>
          <w:tcPr>
            <w:tcW w:w="113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</w:tr>
    </w:tbl>
    <w:p>
      <w:pPr>
        <w:pStyle w:val="BodyText"/>
      </w:pPr>
      <w:r>
        <w:rPr>
          <w:b/>
          <w:bCs/>
        </w:rPr>
        <w:t xml:space="preserve">Douze lignes sur dix-sept sont à 0 ou 1 pour les deux autres options.</w:t>
      </w:r>
      <w:r>
        <w:t xml:space="preserve"> </w:t>
      </w:r>
      <w:r>
        <w:t xml:space="preserve">C’est le</w:t>
      </w:r>
      <w:r>
        <w:t xml:space="preserve"> </w:t>
      </w:r>
      <w:r>
        <w:t xml:space="preserve">domaine propre du DBC : il n’admet ni allègement ni repli sur le génie climatique. Il</w:t>
      </w:r>
      <w:r>
        <w:t xml:space="preserve"> </w:t>
      </w:r>
      <w:r>
        <w:t xml:space="preserve">convient de le dire aux étudiants : c’est aussi le domaine où ils sont, et resteront, les</w:t>
      </w:r>
      <w:r>
        <w:t xml:space="preserve"> </w:t>
      </w:r>
      <w:r>
        <w:t xml:space="preserve">plus compétents.</w:t>
      </w:r>
    </w:p>
    <w:bookmarkEnd w:id="22"/>
    <w:bookmarkStart w:id="23" w:name="les-deux-hypothèses-qui-restent"/>
    <w:p>
      <w:pPr>
        <w:pStyle w:val="Heading2"/>
      </w:pPr>
      <w:r>
        <w:t xml:space="preserve">Les deux hypothèses qui restent</w:t>
      </w:r>
    </w:p>
    <w:p>
      <w:pPr>
        <w:pStyle w:val="FirstParagraph"/>
      </w:pPr>
      <w:r>
        <w:rPr>
          <w:b/>
          <w:bCs/>
        </w:rPr>
        <w:t xml:space="preserve">Vingt-six semaines de centre.</w:t>
      </w:r>
      <w:r>
        <w:t xml:space="preserve"> </w:t>
      </w:r>
      <w:r>
        <w:t xml:space="preserve">Ce chiffre est repris de la 2e année de fluides, faute</w:t>
      </w:r>
      <w:r>
        <w:t xml:space="preserve"> </w:t>
      </w:r>
      <w:r>
        <w:t xml:space="preserve">de calendrier d’alternance. C’est le seul paramètre susceptible de resserrer encore</w:t>
      </w:r>
      <w:r>
        <w:t xml:space="preserve"> </w:t>
      </w:r>
      <w:r>
        <w:t xml:space="preserve">l’année.</w:t>
      </w:r>
    </w:p>
    <w:p>
      <w:pPr>
        <w:pStyle w:val="BodyText"/>
      </w:pPr>
      <w:r>
        <w:rPr>
          <w:b/>
          <w:bCs/>
        </w:rPr>
        <w:t xml:space="preserve">Sept heures, et non huit.</w:t>
      </w:r>
      <w:r>
        <w:t xml:space="preserve"> </w:t>
      </w:r>
      <w:r>
        <w:t xml:space="preserve">Ce volume a été retenu par prudence, conformément à la</w:t>
      </w:r>
      <w:r>
        <w:t xml:space="preserve"> </w:t>
      </w:r>
      <w:r>
        <w:t xml:space="preserve">demande initiale.</w:t>
      </w:r>
      <w:r>
        <w:t xml:space="preserve"> </w:t>
      </w:r>
      <w:r>
        <w:rPr>
          <w:b/>
          <w:bCs/>
        </w:rPr>
        <w:t xml:space="preserve">Si l’horaire est de huit heures, la huitième revient au fil A</w:t>
      </w:r>
      <w:r>
        <w:t xml:space="preserve">, qui</w:t>
      </w:r>
      <w:r>
        <w:t xml:space="preserve"> </w:t>
      </w:r>
      <w:r>
        <w:t xml:space="preserve">passe à 4 h et gagne 26 heures : ce temps permettrait de traiter en deux temps</w:t>
      </w:r>
      <w:r>
        <w:t xml:space="preserve"> </w:t>
      </w:r>
      <w:r>
        <w:t xml:space="preserve">l’éclairage, le comptage et l’analyse de risques, et de consacrer une semaine entière à la</w:t>
      </w:r>
      <w:r>
        <w:t xml:space="preserve"> </w:t>
      </w:r>
      <w:r>
        <w:t xml:space="preserve">rédaction du rapport d’essai, la partie de C7 la plus rentable et celle que les apprentis</w:t>
      </w:r>
      <w:r>
        <w:t xml:space="preserve"> </w:t>
      </w:r>
      <w:r>
        <w:t xml:space="preserve">pratiquent le moins.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5" w:name="phase-0.-le-socle-semaines-1-à-3"/>
    <w:p>
      <w:pPr>
        <w:keepNext/>
        <w:pStyle w:val="Heading1"/>
      </w:pPr>
      <w:r>
        <w:t xml:space="preserve">Phase 0. Le socle · semaines 1 à 3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185"/>
        <w:gridCol w:w="2502"/>
        <w:gridCol w:w="1446"/>
        <w:gridCol w:w="4505"/>
      </w:tblGrid>
      <w:tr>
        <w:trPr>
          <w:cantSplit/>
          <w:tblHeader w:val="on"/>
        </w:trPr>
        <w:tc>
          <w:tcPr>
            <w:tcW w:w="1185" w:type="dxa"/>
          </w:tcPr>
          <w:tcPr/>
          <w:p>
            <w:pPr>
              <w:keepNext/>
              <w:pStyle w:val="Compact"/>
            </w:pPr>
            <w:r>
              <w:t xml:space="preserve">Sem</w:t>
            </w:r>
          </w:p>
        </w:tc>
        <w:tc>
          <w:tcPr>
            <w:tcW w:w="2502" w:type="dxa"/>
          </w:tcPr>
          <w:tcPr/>
          <w:p>
            <w:pPr>
              <w:keepNext/>
              <w:pStyle w:val="Compact"/>
            </w:pPr>
            <w:r>
              <w:t xml:space="preserve">Fil A : études · 3 h</w:t>
            </w:r>
          </w:p>
        </w:tc>
        <w:tc>
          <w:tcPr>
            <w:tcW w:w="1446" w:type="dxa"/>
          </w:tcPr>
          <w:tcPr/>
          <w:p>
            <w:pPr>
              <w:keepNext/>
              <w:pStyle w:val="Compact"/>
            </w:pPr>
            <w:r>
              <w:t xml:space="preserve">Savoirs</w:t>
            </w:r>
          </w:p>
        </w:tc>
        <w:tc>
          <w:tcPr>
            <w:tcW w:w="4505" w:type="dxa"/>
          </w:tcPr>
          <w:tcPr/>
          <w:p>
            <w:pPr>
              <w:keepNext/>
              <w:pStyle w:val="Compact"/>
            </w:pPr>
            <w:r>
              <w:t xml:space="preserve">Fil B : atelier · 4 h</w:t>
            </w:r>
          </w:p>
        </w:tc>
      </w:tr>
      <w:tr>
        <w:trPr>
          <w:cantSplit/>
        </w:trPr>
        <w:tc>
          <w:tcPr>
            <w:tcW w:w="118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1</w:t>
            </w:r>
          </w:p>
        </w:tc>
        <w:tc>
          <w:tcPr>
            <w:tcW w:w="2502" w:type="dxa"/>
          </w:tcPr>
          <w:tcPr/>
          <w:p>
            <w:pPr>
              <w:keepNext/>
              <w:pStyle w:val="Compact"/>
            </w:pPr>
            <w:r>
              <w:t xml:space="preserve">Les trois façons de câbler :</w:t>
            </w:r>
            <w:r>
              <w:t xml:space="preserve"> </w:t>
            </w:r>
            <w:r>
              <w:rPr>
                <w:b/>
                <w:bCs/>
              </w:rPr>
              <w:t xml:space="preserve">produite</w:t>
            </w:r>
          </w:p>
        </w:tc>
        <w:tc>
          <w:tcPr>
            <w:tcW w:w="144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B8-1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D1-1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D2-1</w:t>
            </w:r>
          </w:p>
        </w:tc>
        <w:tc>
          <w:tcPr>
            <w:tcW w:w="4505" w:type="dxa"/>
          </w:tcPr>
          <w:tcPr/>
          <w:p>
            <w:pPr>
              <w:keepNext/>
              <w:pStyle w:val="Compact"/>
            </w:pPr>
            <w:r>
              <w:t xml:space="preserve">Prise en main de l’atelier : outillage courant faible, repérage, sécurité ·</w:t>
            </w:r>
            <w:r>
              <w:t xml:space="preserve"> </w:t>
            </w:r>
            <w:r>
              <w:rPr>
                <w:b/>
                <w:bCs/>
              </w:rPr>
              <w:t xml:space="preserve">É0</w:t>
            </w:r>
          </w:p>
        </w:tc>
      </w:tr>
      <w:tr>
        <w:trPr>
          <w:cantSplit/>
        </w:trPr>
        <w:tc>
          <w:tcPr>
            <w:tcW w:w="118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2</w:t>
            </w:r>
          </w:p>
        </w:tc>
        <w:tc>
          <w:tcPr>
            <w:tcW w:w="2502" w:type="dxa"/>
          </w:tcPr>
          <w:tcPr/>
          <w:p>
            <w:pPr>
              <w:keepNext/>
              <w:pStyle w:val="Compact"/>
            </w:pPr>
            <w:r>
              <w:t xml:space="preserve">Lire un dossier de courant faible</w:t>
            </w:r>
          </w:p>
        </w:tc>
        <w:tc>
          <w:tcPr>
            <w:tcW w:w="1446" w:type="dxa"/>
          </w:tcPr>
          <w:tcPr/>
          <w:p>
            <w:pPr>
              <w:keepNext/>
              <w:pStyle w:val="Compact"/>
            </w:pPr>
            <w:r>
              <w:t xml:space="preserve">C1-1</w:t>
            </w:r>
            <w:r>
              <w:t xml:space="preserve"> </w:t>
            </w:r>
            <w:r>
              <w:rPr>
                <w:i/>
                <w:iCs/>
              </w:rPr>
              <w:t xml:space="preserve">(2)</w:t>
            </w:r>
          </w:p>
        </w:tc>
        <w:tc>
          <w:tcPr>
            <w:tcW w:w="4505" w:type="dxa"/>
          </w:tcPr>
          <w:tcPr/>
          <w:p>
            <w:pPr>
              <w:keepNext/>
              <w:pStyle w:val="Compact"/>
            </w:pPr>
            <w:r>
              <w:t xml:space="preserve">Câbler la référence 230 V : va-et-vient, télérupteur, boucle de poussoirs</w:t>
            </w:r>
          </w:p>
        </w:tc>
      </w:tr>
      <w:tr>
        <w:trPr>
          <w:cantSplit/>
        </w:trPr>
        <w:tc>
          <w:tcPr>
            <w:tcW w:w="118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3</w:t>
            </w:r>
          </w:p>
        </w:tc>
        <w:tc>
          <w:tcPr>
            <w:tcW w:w="2502" w:type="dxa"/>
          </w:tcPr>
          <w:tcPr/>
          <w:p>
            <w:pPr>
              <w:pStyle w:val="Compact"/>
            </w:pPr>
            <w:r>
              <w:t xml:space="preserve">Analyse fonctionnelle et schémas fonctionnels</w:t>
            </w:r>
          </w:p>
        </w:tc>
        <w:tc>
          <w:tcPr>
            <w:tcW w:w="1446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B8-1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4505" w:type="dxa"/>
          </w:tcPr>
          <w:tcPr/>
          <w:p>
            <w:pPr>
              <w:pStyle w:val="Compact"/>
            </w:pPr>
            <w:r>
              <w:t xml:space="preserve">Relever et décrire un système de l’atelier : schéma fonctionnel, les deux chaînes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semaine 2 du fil B n’est pas une révision du baccalauréat professionnel.</w:t>
      </w:r>
      <w:r>
        <w:t xml:space="preserve"> </w:t>
      </w:r>
      <w:r>
        <w:t xml:space="preserve">Elle sert</w:t>
      </w:r>
      <w:r>
        <w:t xml:space="preserve"> </w:t>
      </w:r>
      <w:r>
        <w:t xml:space="preserve">de référence à toute l’année : les étudiants y câblent eux-mêmes ce que le bus remplace.</w:t>
      </w:r>
    </w:p>
    <w:bookmarkEnd w:id="25"/>
    <w:bookmarkStart w:id="26" w:name="phase-1.-communiquer-semaines-4-à-10"/>
    <w:p>
      <w:pPr>
        <w:keepNext/>
        <w:pStyle w:val="Heading1"/>
      </w:pPr>
      <w:r>
        <w:t xml:space="preserve">Phase 1. Communiquer · semaines 4 à 10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178"/>
        <w:gridCol w:w="2838"/>
        <w:gridCol w:w="1178"/>
        <w:gridCol w:w="4444"/>
      </w:tblGrid>
      <w:tr>
        <w:trPr>
          <w:cantSplit/>
          <w:tblHeader w:val="on"/>
        </w:trPr>
        <w:tc>
          <w:tcPr>
            <w:tcW w:w="1178" w:type="dxa"/>
          </w:tcPr>
          <w:tcPr/>
          <w:p>
            <w:pPr>
              <w:pStyle w:val="Compact"/>
            </w:pPr>
            <w:r>
              <w:t xml:space="preserve">Sem</w:t>
            </w:r>
          </w:p>
        </w:tc>
        <w:tc>
          <w:tcPr>
            <w:tcW w:w="2838" w:type="dxa"/>
          </w:tcPr>
          <w:tcPr/>
          <w:p>
            <w:pPr>
              <w:pStyle w:val="Compact"/>
            </w:pPr>
            <w:r>
              <w:t xml:space="preserve">Fil A : études · 3 h</w:t>
            </w:r>
          </w:p>
        </w:tc>
        <w:tc>
          <w:tcPr>
            <w:tcW w:w="1178" w:type="dxa"/>
          </w:tcPr>
          <w:tcPr/>
          <w:p>
            <w:pPr>
              <w:pStyle w:val="Compact"/>
            </w:pPr>
            <w:r>
              <w:t xml:space="preserve">Savoirs</w:t>
            </w:r>
          </w:p>
        </w:tc>
        <w:tc>
          <w:tcPr>
            <w:tcW w:w="4444" w:type="dxa"/>
          </w:tcPr>
          <w:tcPr/>
          <w:p>
            <w:pPr>
              <w:pStyle w:val="Compact"/>
            </w:pPr>
            <w:r>
              <w:t xml:space="preserve">Fil B : atelier · 4 h</w:t>
            </w:r>
          </w:p>
        </w:tc>
      </w:tr>
      <w:tr>
        <w:trPr>
          <w:cantSplit/>
        </w:trPr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4</w:t>
            </w:r>
          </w:p>
        </w:tc>
        <w:tc>
          <w:tcPr>
            <w:tcW w:w="2838" w:type="dxa"/>
          </w:tcPr>
          <w:tcPr/>
          <w:p>
            <w:pPr>
              <w:pStyle w:val="Compact"/>
            </w:pPr>
            <w:r>
              <w:t xml:space="preserve">Les médias : bus, RF, CPL, fibre</w:t>
            </w:r>
          </w:p>
        </w:tc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D1-1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4444" w:type="dxa"/>
          </w:tcPr>
          <w:tcPr/>
          <w:p>
            <w:pPr>
              <w:pStyle w:val="Compact"/>
            </w:pPr>
            <w:r>
              <w:t xml:space="preserve">Mesurer sur bus, radio et CPL · portée, tension, défaut :</w:t>
            </w:r>
            <w:r>
              <w:t xml:space="preserve"> </w:t>
            </w:r>
            <w:r>
              <w:rPr>
                <w:b/>
                <w:bCs/>
              </w:rPr>
              <w:t xml:space="preserve">première trace de C7</w:t>
            </w:r>
          </w:p>
        </w:tc>
      </w:tr>
      <w:tr>
        <w:trPr>
          <w:cantSplit/>
        </w:trPr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5</w:t>
            </w:r>
          </w:p>
        </w:tc>
        <w:tc>
          <w:tcPr>
            <w:tcW w:w="2838" w:type="dxa"/>
          </w:tcPr>
          <w:tcPr/>
          <w:p>
            <w:pPr>
              <w:pStyle w:val="Compact"/>
            </w:pPr>
            <w:r>
              <w:t xml:space="preserve">Topologie, adressage, coupleurs</w:t>
            </w:r>
          </w:p>
        </w:tc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D2-1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4444" w:type="dxa"/>
          </w:tcPr>
          <w:tcPr/>
          <w:p>
            <w:pPr>
              <w:pStyle w:val="Compact"/>
            </w:pPr>
            <w:r>
              <w:t xml:space="preserve">Monter une ligne bus et vérifier ses trois longueurs</w:t>
            </w:r>
          </w:p>
        </w:tc>
      </w:tr>
      <w:tr>
        <w:trPr>
          <w:cantSplit/>
        </w:trPr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6</w:t>
            </w:r>
          </w:p>
        </w:tc>
        <w:tc>
          <w:tcPr>
            <w:tcW w:w="2838" w:type="dxa"/>
          </w:tcPr>
          <w:tcPr/>
          <w:p>
            <w:pPr>
              <w:pStyle w:val="Compact"/>
            </w:pPr>
            <w:r>
              <w:t xml:space="preserve">Le réseau IP du bâtiment</w:t>
            </w:r>
          </w:p>
        </w:tc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D2-1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4444" w:type="dxa"/>
          </w:tcPr>
          <w:tcPr/>
          <w:p>
            <w:pPr>
              <w:pStyle w:val="Compact"/>
            </w:pPr>
            <w:r>
              <w:t xml:space="preserve">Commutateur, plan d’adressage, PoE : mettre un réseau en service</w:t>
            </w:r>
          </w:p>
        </w:tc>
      </w:tr>
      <w:tr>
        <w:trPr>
          <w:cantSplit/>
        </w:trPr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7</w:t>
            </w:r>
          </w:p>
        </w:tc>
        <w:tc>
          <w:tcPr>
            <w:tcW w:w="2838" w:type="dxa"/>
          </w:tcPr>
          <w:tcPr/>
          <w:p>
            <w:pPr>
              <w:pStyle w:val="Compact"/>
            </w:pPr>
            <w:r>
              <w:t xml:space="preserve">La CEM en courant faible</w:t>
            </w:r>
          </w:p>
        </w:tc>
        <w:tc>
          <w:tcPr>
            <w:tcW w:w="1178" w:type="dxa"/>
          </w:tcPr>
          <w:tcPr/>
          <w:p>
            <w:pPr>
              <w:pStyle w:val="Compact"/>
            </w:pPr>
            <w:r>
              <w:t xml:space="preserve">D2-1 CEM</w:t>
            </w:r>
            <w:r>
              <w:t xml:space="preserve"> </w:t>
            </w:r>
            <w:r>
              <w:rPr>
                <w:i/>
                <w:iCs/>
              </w:rPr>
              <w:t xml:space="preserve">(2)</w:t>
            </w:r>
          </w:p>
        </w:tc>
        <w:tc>
          <w:tcPr>
            <w:tcW w:w="4444" w:type="dxa"/>
          </w:tcPr>
          <w:tcPr/>
          <w:p>
            <w:pPr>
              <w:pStyle w:val="Compact"/>
            </w:pPr>
            <w:r>
              <w:t xml:space="preserve">Cheminements, blindage, reprise de masse : provoquer puis corriger une perturbation</w:t>
            </w:r>
          </w:p>
        </w:tc>
      </w:tr>
      <w:tr>
        <w:trPr>
          <w:cantSplit/>
        </w:trPr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8</w:t>
            </w:r>
          </w:p>
        </w:tc>
        <w:tc>
          <w:tcPr>
            <w:tcW w:w="2838" w:type="dxa"/>
          </w:tcPr>
          <w:tcPr/>
          <w:p>
            <w:pPr>
              <w:pStyle w:val="Compact"/>
            </w:pPr>
            <w:r>
              <w:t xml:space="preserve">VDI : catégories, classes, architecture</w:t>
            </w:r>
          </w:p>
        </w:tc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D2-2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4444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Câbler et certifier un lien au testeur</w:t>
            </w:r>
            <w:r>
              <w:t xml:space="preserve"> </w:t>
            </w:r>
            <w:r>
              <w:t xml:space="preserve">· rédiger le procès-verbal de recette</w:t>
            </w:r>
          </w:p>
        </w:tc>
      </w:tr>
      <w:tr>
        <w:trPr>
          <w:cantSplit/>
        </w:trPr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9</w:t>
            </w:r>
          </w:p>
        </w:tc>
        <w:tc>
          <w:tcPr>
            <w:tcW w:w="2838" w:type="dxa"/>
          </w:tcPr>
          <w:tcPr/>
          <w:p>
            <w:pPr>
              <w:pStyle w:val="Compact"/>
            </w:pPr>
            <w:r>
              <w:t xml:space="preserve">Téléphonie numérique et IP · multimédia</w:t>
            </w:r>
          </w:p>
        </w:tc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D2-3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B8-2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4444" w:type="dxa"/>
          </w:tcPr>
          <w:tcPr/>
          <w:p>
            <w:pPr>
              <w:pStyle w:val="Compact"/>
            </w:pPr>
            <w:r>
              <w:t xml:space="preserve">Mettre en service une installation téléphonique IP, paramétrer les postes</w:t>
            </w:r>
          </w:p>
        </w:tc>
      </w:tr>
      <w:tr>
        <w:trPr>
          <w:cantSplit/>
        </w:trPr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10</w:t>
            </w:r>
          </w:p>
        </w:tc>
        <w:tc>
          <w:tcPr>
            <w:tcW w:w="2838" w:type="dxa"/>
          </w:tcPr>
          <w:tcPr/>
          <w:p>
            <w:pPr>
              <w:pStyle w:val="Compact"/>
            </w:pPr>
            <w:r>
              <w:t xml:space="preserve">Protocoles métier et interopérabilité ·</w:t>
            </w:r>
            <w:r>
              <w:t xml:space="preserve"> </w:t>
            </w:r>
            <w:r>
              <w:rPr>
                <w:b/>
                <w:bCs/>
              </w:rPr>
              <w:t xml:space="preserve">É1 : DS 2 h</w:t>
            </w:r>
          </w:p>
        </w:tc>
        <w:tc>
          <w:tcPr>
            <w:tcW w:w="117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D1-2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4444" w:type="dxa"/>
          </w:tcPr>
          <w:tcPr/>
          <w:p>
            <w:pPr>
              <w:pStyle w:val="Compact"/>
            </w:pPr>
            <w:r>
              <w:t xml:space="preserve">Distribuer audio et vidéo sur l’infrastructure VDI</w:t>
            </w:r>
          </w:p>
        </w:tc>
      </w:tr>
    </w:tbl>
    <w:p>
      <w:pPr>
        <w:pStyle w:val="BodyText"/>
      </w:pPr>
      <w:r>
        <w:rPr>
          <w:b/>
          <w:bCs/>
        </w:rPr>
        <w:t xml:space="preserve">Sept semaines sont consacrées au seul bloc Communication, et ce choix est justifié.</w:t>
      </w:r>
      <w:r>
        <w:t xml:space="preserve"> </w:t>
      </w:r>
      <w:r>
        <w:t xml:space="preserve">Toute la section D est à 0 ou 1 pour les options A et B : c’est ce qui distingue le</w:t>
      </w:r>
      <w:r>
        <w:t xml:space="preserve"> </w:t>
      </w:r>
      <w:r>
        <w:t xml:space="preserve">technicien DBC, et c’est l’infrastructure sur laquelle repose tout le reste de l’année.</w:t>
      </w:r>
    </w:p>
    <w:p>
      <w:pPr>
        <w:pStyle w:val="BodyText"/>
      </w:pPr>
      <w:r>
        <w:rPr>
          <w:b/>
          <w:bCs/>
        </w:rPr>
        <w:t xml:space="preserve">La semaine 8 est la charnière de l’année.</w:t>
      </w:r>
      <w:r>
        <w:t xml:space="preserve"> </w:t>
      </w:r>
      <w:r>
        <w:t xml:space="preserve">Un testeur de câble fournit un résultat</w:t>
      </w:r>
      <w:r>
        <w:t xml:space="preserve"> </w:t>
      </w:r>
      <w:r>
        <w:t xml:space="preserve">chiffré, un verdict normatif et un procès-verbal : c’est exactement la forme d’un</w:t>
      </w:r>
      <w:r>
        <w:t xml:space="preserve"> </w:t>
      </w:r>
      <w:r>
        <w:t xml:space="preserve">essai. Si un seul investissement doit être consenti, c’est celui-ci (voir « La marge »).</w:t>
      </w:r>
    </w:p>
    <w:bookmarkEnd w:id="26"/>
    <w:bookmarkStart w:id="27" w:name="phase-2.-piloter-semaines-11-à-13"/>
    <w:p>
      <w:pPr>
        <w:keepNext/>
        <w:pStyle w:val="Heading1"/>
      </w:pPr>
      <w:r>
        <w:t xml:space="preserve">Phase 2. Piloter · semaines 11 à 13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182"/>
        <w:gridCol w:w="2645"/>
        <w:gridCol w:w="1606"/>
        <w:gridCol w:w="4205"/>
      </w:tblGrid>
      <w:tr>
        <w:trPr>
          <w:cantSplit/>
          <w:tblHeader w:val="on"/>
        </w:trPr>
        <w:tc>
          <w:tcPr>
            <w:tcW w:w="1182" w:type="dxa"/>
          </w:tcPr>
          <w:tcPr/>
          <w:p>
            <w:pPr>
              <w:keepNext/>
              <w:pStyle w:val="Compact"/>
            </w:pPr>
            <w:r>
              <w:t xml:space="preserve">Sem</w:t>
            </w:r>
          </w:p>
        </w:tc>
        <w:tc>
          <w:tcPr>
            <w:tcW w:w="2645" w:type="dxa"/>
          </w:tcPr>
          <w:tcPr/>
          <w:p>
            <w:pPr>
              <w:keepNext/>
              <w:pStyle w:val="Compact"/>
            </w:pPr>
            <w:r>
              <w:t xml:space="preserve">Fil A : études · 3 h</w:t>
            </w:r>
          </w:p>
        </w:tc>
        <w:tc>
          <w:tcPr>
            <w:tcW w:w="1606" w:type="dxa"/>
          </w:tcPr>
          <w:tcPr/>
          <w:p>
            <w:pPr>
              <w:keepNext/>
              <w:pStyle w:val="Compact"/>
            </w:pPr>
            <w:r>
              <w:t xml:space="preserve">Savoirs</w:t>
            </w:r>
          </w:p>
        </w:tc>
        <w:tc>
          <w:tcPr>
            <w:tcW w:w="4205" w:type="dxa"/>
          </w:tcPr>
          <w:tcPr/>
          <w:p>
            <w:pPr>
              <w:keepNext/>
              <w:pStyle w:val="Compact"/>
            </w:pPr>
            <w:r>
              <w:t xml:space="preserve">Fil B : atelier · 4 h</w:t>
            </w:r>
          </w:p>
        </w:tc>
      </w:tr>
      <w:tr>
        <w:trPr>
          <w:cantSplit/>
        </w:trPr>
        <w:tc>
          <w:tcPr>
            <w:tcW w:w="11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11</w:t>
            </w:r>
          </w:p>
        </w:tc>
        <w:tc>
          <w:tcPr>
            <w:tcW w:w="2645" w:type="dxa"/>
          </w:tcPr>
          <w:tcPr/>
          <w:p>
            <w:pPr>
              <w:keepNext/>
              <w:pStyle w:val="Compact"/>
            </w:pPr>
            <w:r>
              <w:t xml:space="preserve">Le projet, la topologie logique, les adresses de groupe</w:t>
            </w:r>
          </w:p>
        </w:tc>
        <w:tc>
          <w:tcPr>
            <w:tcW w:w="160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B8-1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  <w:r>
              <w:t xml:space="preserve"> </w:t>
            </w:r>
            <w:r>
              <w:t xml:space="preserve">· C6</w:t>
            </w:r>
          </w:p>
        </w:tc>
        <w:tc>
          <w:tcPr>
            <w:tcW w:w="4205" w:type="dxa"/>
          </w:tcPr>
          <w:tcPr/>
          <w:p>
            <w:pPr>
              <w:keepNext/>
              <w:pStyle w:val="Compact"/>
            </w:pPr>
            <w:r>
              <w:t xml:space="preserve">Faire dialoguer deux protocoles par une passerelle</w:t>
            </w:r>
          </w:p>
        </w:tc>
      </w:tr>
      <w:tr>
        <w:trPr>
          <w:cantSplit/>
        </w:trPr>
        <w:tc>
          <w:tcPr>
            <w:tcW w:w="118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12</w:t>
            </w:r>
          </w:p>
        </w:tc>
        <w:tc>
          <w:tcPr>
            <w:tcW w:w="2645" w:type="dxa"/>
          </w:tcPr>
          <w:tcPr/>
          <w:p>
            <w:pPr>
              <w:keepNext/>
              <w:pStyle w:val="Compact"/>
            </w:pPr>
            <w:r>
              <w:t xml:space="preserve">L’éclairage : grandeurs, dimensionnement, asservissement</w:t>
            </w:r>
          </w:p>
        </w:tc>
        <w:tc>
          <w:tcPr>
            <w:tcW w:w="160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B7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4205" w:type="dxa"/>
          </w:tcPr>
          <w:tcPr/>
          <w:p>
            <w:pPr>
              <w:keepNext/>
              <w:pStyle w:val="Compact"/>
            </w:pPr>
            <w:r>
              <w:t xml:space="preserve">Créer le projet, adresser, téléverser · la première fonction qui marche</w:t>
            </w:r>
          </w:p>
        </w:tc>
      </w:tr>
      <w:tr>
        <w:trPr>
          <w:cantSplit/>
        </w:trPr>
        <w:tc>
          <w:tcPr>
            <w:tcW w:w="1182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13</w:t>
            </w:r>
          </w:p>
        </w:tc>
        <w:tc>
          <w:tcPr>
            <w:tcW w:w="2645" w:type="dxa"/>
          </w:tcPr>
          <w:tcPr/>
          <w:p>
            <w:pPr>
              <w:pStyle w:val="Compact"/>
            </w:pPr>
            <w:r>
              <w:t xml:space="preserve">Moteurs, variation de vitesse, volets</w:t>
            </w:r>
          </w:p>
        </w:tc>
        <w:tc>
          <w:tcPr>
            <w:tcW w:w="1606" w:type="dxa"/>
          </w:tcPr>
          <w:tcPr/>
          <w:p>
            <w:pPr>
              <w:pStyle w:val="Compact"/>
            </w:pPr>
            <w:r>
              <w:t xml:space="preserve">C2-1 · C2-2</w:t>
            </w:r>
            <w:r>
              <w:t xml:space="preserve"> </w:t>
            </w:r>
            <w:r>
              <w:rPr>
                <w:i/>
                <w:iCs/>
              </w:rPr>
              <w:t xml:space="preserve">(2)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B8-2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4205" w:type="dxa"/>
          </w:tcPr>
          <w:tcPr/>
          <w:p>
            <w:pPr>
              <w:pStyle w:val="Compact"/>
            </w:pPr>
            <w:r>
              <w:t xml:space="preserve">Éclairage piloté : TOR, variation, scénarios ·</w:t>
            </w:r>
            <w:r>
              <w:t xml:space="preserve"> </w:t>
            </w:r>
            <w:r>
              <w:rPr>
                <w:b/>
                <w:bCs/>
              </w:rPr>
              <w:t xml:space="preserve">TP luxmètre : la mesure contre le calcul</w:t>
            </w:r>
          </w:p>
        </w:tc>
      </w:tr>
    </w:tbl>
    <w:p>
      <w:pPr>
        <w:pStyle w:val="BodyText"/>
      </w:pPr>
      <w:r>
        <w:rPr>
          <w:b/>
          <w:bCs/>
        </w:rPr>
        <w:t xml:space="preserve">L’éclairage est au niveau 3, et il est généralement sous-estimé.</w:t>
      </w:r>
      <w:r>
        <w:t xml:space="preserve"> </w:t>
      </w:r>
      <w:r>
        <w:t xml:space="preserve">Grandeurs</w:t>
      </w:r>
      <w:r>
        <w:t xml:space="preserve"> </w:t>
      </w:r>
      <w:r>
        <w:t xml:space="preserve">photométriques, dimensionnement d’un projet, implantation, consommation</w:t>
      </w:r>
      <w:r>
        <w:t xml:space="preserve"> </w:t>
      </w:r>
      <w:r>
        <w:rPr>
          <w:i/>
          <w:iCs/>
        </w:rPr>
        <w:t xml:space="preserve">et</w:t>
      </w:r>
      <w:r>
        <w:t xml:space="preserve"> </w:t>
      </w:r>
      <w:r>
        <w:t xml:space="preserve">asservissement : le référentiel en fait un savoir complet, et non une simple application</w:t>
      </w:r>
      <w:r>
        <w:t xml:space="preserve"> </w:t>
      </w:r>
      <w:r>
        <w:t xml:space="preserve">du bus.</w:t>
      </w:r>
    </w:p>
    <w:bookmarkEnd w:id="27"/>
    <w:bookmarkStart w:id="28" w:name="X9469b8ef79d2b8f69e9b232fca6adc28c5de4aa"/>
    <w:p>
      <w:pPr>
        <w:keepNext/>
        <w:pStyle w:val="Heading1"/>
      </w:pPr>
      <w:r>
        <w:t xml:space="preserve">Phase 3. La méthode d’essai · semaines 14 et 15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120"/>
        <w:gridCol w:w="2680"/>
        <w:gridCol w:w="1120"/>
        <w:gridCol w:w="4718"/>
      </w:tblGrid>
      <w:tr>
        <w:trPr>
          <w:cantSplit/>
          <w:tblHeader w:val="on"/>
        </w:trPr>
        <w:tc>
          <w:tcPr>
            <w:tcW w:w="1120" w:type="dxa"/>
          </w:tcPr>
          <w:tcPr/>
          <w:p>
            <w:pPr>
              <w:keepNext/>
              <w:pStyle w:val="Compact"/>
            </w:pPr>
            <w:r>
              <w:t xml:space="preserve">Sem</w:t>
            </w:r>
          </w:p>
        </w:tc>
        <w:tc>
          <w:tcPr>
            <w:tcW w:w="2680" w:type="dxa"/>
          </w:tcPr>
          <w:tcPr/>
          <w:p>
            <w:pPr>
              <w:keepNext/>
              <w:pStyle w:val="Compact"/>
            </w:pPr>
            <w:r>
              <w:t xml:space="preserve">Fil A : études · 3 h</w:t>
            </w:r>
          </w:p>
        </w:tc>
        <w:tc>
          <w:tcPr>
            <w:tcW w:w="1120" w:type="dxa"/>
          </w:tcPr>
          <w:tcPr/>
          <w:p>
            <w:pPr>
              <w:keepNext/>
              <w:pStyle w:val="Compact"/>
            </w:pPr>
            <w:r>
              <w:t xml:space="preserve">Savoirs</w:t>
            </w:r>
          </w:p>
        </w:tc>
        <w:tc>
          <w:tcPr>
            <w:tcW w:w="4718" w:type="dxa"/>
          </w:tcPr>
          <w:tcPr/>
          <w:p>
            <w:pPr>
              <w:keepNext/>
              <w:pStyle w:val="Compact"/>
            </w:pPr>
            <w:r>
              <w:t xml:space="preserve">Fil B : atelier · 4 h</w:t>
            </w:r>
          </w:p>
        </w:tc>
      </w:tr>
      <w:tr>
        <w:trPr>
          <w:cantSplit/>
        </w:trPr>
        <w:tc>
          <w:tcPr>
            <w:tcW w:w="1120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14</w:t>
            </w:r>
          </w:p>
        </w:tc>
        <w:tc>
          <w:tcPr>
            <w:tcW w:w="2680" w:type="dxa"/>
          </w:tcPr>
          <w:tcPr/>
          <w:p>
            <w:pPr>
              <w:keepNext/>
              <w:pStyle w:val="Compact"/>
            </w:pPr>
            <w:r>
              <w:t xml:space="preserve">La méthode d’essai : procédure, incertitude, fiche</w:t>
            </w:r>
          </w:p>
        </w:tc>
        <w:tc>
          <w:tcPr>
            <w:tcW w:w="1120" w:type="dxa"/>
          </w:tcPr>
          <w:tcPr/>
          <w:p>
            <w:pPr>
              <w:keepNext/>
              <w:pStyle w:val="Compact"/>
            </w:pPr>
            <w:r>
              <w:t xml:space="preserve">C7-1 à C7-3</w:t>
            </w:r>
          </w:p>
        </w:tc>
        <w:tc>
          <w:tcPr>
            <w:tcW w:w="4718" w:type="dxa"/>
          </w:tcPr>
          <w:tcPr/>
          <w:p>
            <w:pPr>
              <w:keepNext/>
              <w:pStyle w:val="Compact"/>
            </w:pPr>
            <w:r>
              <w:t xml:space="preserve">Volets et stores : fins de course, sécurité vent, scénario solaire ·</w:t>
            </w:r>
            <w:r>
              <w:t xml:space="preserve"> </w:t>
            </w:r>
            <w:r>
              <w:rPr>
                <w:b/>
                <w:bCs/>
              </w:rPr>
              <w:t xml:space="preserve">É2 : TP noté</w:t>
            </w:r>
            <w:r>
              <w:t xml:space="preserve">, C6</w:t>
            </w:r>
          </w:p>
        </w:tc>
      </w:tr>
      <w:tr>
        <w:trPr>
          <w:cantSplit/>
        </w:trPr>
        <w:tc>
          <w:tcPr>
            <w:tcW w:w="112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15</w:t>
            </w:r>
          </w:p>
        </w:tc>
        <w:tc>
          <w:tcPr>
            <w:tcW w:w="2680" w:type="dxa"/>
          </w:tcPr>
          <w:tcPr/>
          <w:p>
            <w:pPr>
              <w:pStyle w:val="Compact"/>
            </w:pPr>
            <w:r>
              <w:t xml:space="preserve">Interpréter un écart, rédiger un rapport</w:t>
            </w:r>
          </w:p>
        </w:tc>
        <w:tc>
          <w:tcPr>
            <w:tcW w:w="112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C7-6</w:t>
            </w:r>
          </w:p>
        </w:tc>
        <w:tc>
          <w:tcPr>
            <w:tcW w:w="4718" w:type="dxa"/>
          </w:tcPr>
          <w:tcPr/>
          <w:p>
            <w:pPr>
              <w:pStyle w:val="Compact"/>
            </w:pPr>
            <w:r>
              <w:t xml:space="preserve">Mesurer en courant faible : multimètre, pince, oscilloscope, testeur de bus</w:t>
            </w:r>
          </w:p>
        </w:tc>
      </w:tr>
    </w:tbl>
    <w:p>
      <w:pPr>
        <w:pStyle w:val="BodyText"/>
      </w:pPr>
      <w:r>
        <w:rPr>
          <w:b/>
          <w:bCs/>
        </w:rPr>
        <w:t xml:space="preserve">C7-6 est la compétence la plus fragile.</w:t>
      </w:r>
      <w:r>
        <w:t xml:space="preserve"> </w:t>
      </w:r>
      <w:r>
        <w:t xml:space="preserve">Conduire un essai s’apprend vite ;</w:t>
      </w:r>
      <w:r>
        <w:t xml:space="preserve"> </w:t>
      </w:r>
      <w:r>
        <w:rPr>
          <w:i/>
          <w:iCs/>
        </w:rPr>
        <w:t xml:space="preserve">interpréter les résultats et les écarts par rapport aux valeurs attendues</w:t>
      </w:r>
      <w:r>
        <w:t xml:space="preserve"> </w:t>
      </w:r>
      <w:r>
        <w:t xml:space="preserve">est ce</w:t>
      </w:r>
      <w:r>
        <w:t xml:space="preserve"> </w:t>
      </w:r>
      <w:r>
        <w:t xml:space="preserve">qu’examine la commission, et ne s’improvise pas le jour du CCF.</w:t>
      </w:r>
    </w:p>
    <w:bookmarkEnd w:id="28"/>
    <w:bookmarkStart w:id="29" w:name="Xe36b2defd221e10517d70163f2a281bc000d445"/>
    <w:p>
      <w:pPr>
        <w:keepNext/>
        <w:pStyle w:val="Heading1"/>
      </w:pPr>
      <w:r>
        <w:t xml:space="preserve">Phase 4. Sûreté et sécurité · semaines 16 à 20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166"/>
        <w:gridCol w:w="2197"/>
        <w:gridCol w:w="1166"/>
        <w:gridCol w:w="5109"/>
      </w:tblGrid>
      <w:tr>
        <w:trPr>
          <w:cantSplit/>
          <w:tblHeader w:val="on"/>
        </w:trPr>
        <w:tc>
          <w:tcPr>
            <w:tcW w:w="1166" w:type="dxa"/>
          </w:tcPr>
          <w:tcPr/>
          <w:p>
            <w:pPr>
              <w:keepNext/>
              <w:pStyle w:val="Compact"/>
            </w:pPr>
            <w:r>
              <w:t xml:space="preserve">Sem</w:t>
            </w:r>
          </w:p>
        </w:tc>
        <w:tc>
          <w:tcPr>
            <w:tcW w:w="2197" w:type="dxa"/>
          </w:tcPr>
          <w:tcPr/>
          <w:p>
            <w:pPr>
              <w:keepNext/>
              <w:pStyle w:val="Compact"/>
            </w:pPr>
            <w:r>
              <w:t xml:space="preserve">Fil A : études · 3 h</w:t>
            </w:r>
          </w:p>
        </w:tc>
        <w:tc>
          <w:tcPr>
            <w:tcW w:w="1166" w:type="dxa"/>
          </w:tcPr>
          <w:tcPr/>
          <w:p>
            <w:pPr>
              <w:keepNext/>
              <w:pStyle w:val="Compact"/>
            </w:pPr>
            <w:r>
              <w:t xml:space="preserve">Savoirs</w:t>
            </w:r>
          </w:p>
        </w:tc>
        <w:tc>
          <w:tcPr>
            <w:tcW w:w="5109" w:type="dxa"/>
          </w:tcPr>
          <w:tcPr/>
          <w:p>
            <w:pPr>
              <w:keepNext/>
              <w:pStyle w:val="Compact"/>
            </w:pPr>
            <w:r>
              <w:t xml:space="preserve">Fil B : atelier · 4 h</w:t>
            </w:r>
          </w:p>
        </w:tc>
      </w:tr>
      <w:tr>
        <w:trPr>
          <w:cantSplit/>
        </w:trPr>
        <w:tc>
          <w:tcPr>
            <w:tcW w:w="11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16</w:t>
            </w:r>
          </w:p>
        </w:tc>
        <w:tc>
          <w:tcPr>
            <w:tcW w:w="2197" w:type="dxa"/>
          </w:tcPr>
          <w:tcPr/>
          <w:p>
            <w:pPr>
              <w:keepNext/>
              <w:pStyle w:val="Compact"/>
            </w:pPr>
            <w:r>
              <w:t xml:space="preserve">Analyser le risque, zoner le bâtiment</w:t>
            </w:r>
          </w:p>
        </w:tc>
        <w:tc>
          <w:tcPr>
            <w:tcW w:w="11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B8-2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5109" w:type="dxa"/>
          </w:tcPr>
          <w:tcPr/>
          <w:p>
            <w:pPr>
              <w:keepNext/>
              <w:pStyle w:val="Compact"/>
            </w:pPr>
            <w:r>
              <w:t xml:space="preserve">Diagnostiquer une installation en défaut : adresse en double, drapeau oublié, alimentation en limite</w:t>
            </w:r>
          </w:p>
        </w:tc>
      </w:tr>
      <w:tr>
        <w:trPr>
          <w:cantSplit/>
        </w:trPr>
        <w:tc>
          <w:tcPr>
            <w:tcW w:w="11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17</w:t>
            </w:r>
          </w:p>
        </w:tc>
        <w:tc>
          <w:tcPr>
            <w:tcW w:w="2197" w:type="dxa"/>
          </w:tcPr>
          <w:tcPr/>
          <w:p>
            <w:pPr>
              <w:keepNext/>
              <w:pStyle w:val="Compact"/>
            </w:pPr>
            <w:r>
              <w:t xml:space="preserve">Contrôle d’accès · interphonie et portiers</w:t>
            </w:r>
          </w:p>
        </w:tc>
        <w:tc>
          <w:tcPr>
            <w:tcW w:w="11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B8-2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5109" w:type="dxa"/>
          </w:tcPr>
          <w:tcPr/>
          <w:p>
            <w:pPr>
              <w:keepNext/>
              <w:pStyle w:val="Compact"/>
            </w:pPr>
            <w:r>
              <w:t xml:space="preserve">Répétition : conduire une procédure d’essai complète, à blanc, fiche remplie</w:t>
            </w:r>
          </w:p>
        </w:tc>
      </w:tr>
      <w:tr>
        <w:trPr>
          <w:cantSplit/>
        </w:trPr>
        <w:tc>
          <w:tcPr>
            <w:tcW w:w="11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w="2197" w:type="dxa"/>
          </w:tcPr>
          <w:tcPr/>
          <w:p>
            <w:pPr>
              <w:keepNext/>
              <w:pStyle w:val="Compact"/>
            </w:pPr>
            <w:r>
              <w:t xml:space="preserve">Alarme intrusion · assistance aux personnes</w:t>
            </w:r>
          </w:p>
        </w:tc>
        <w:tc>
          <w:tcPr>
            <w:tcW w:w="11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B8-2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5109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CCF E5 : situation 1 · C7 · 4 h</w:t>
            </w:r>
          </w:p>
        </w:tc>
      </w:tr>
      <w:tr>
        <w:trPr>
          <w:cantSplit/>
        </w:trPr>
        <w:tc>
          <w:tcPr>
            <w:tcW w:w="11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19</w:t>
            </w:r>
          </w:p>
        </w:tc>
        <w:tc>
          <w:tcPr>
            <w:tcW w:w="2197" w:type="dxa"/>
          </w:tcPr>
          <w:tcPr/>
          <w:p>
            <w:pPr>
              <w:keepNext/>
              <w:pStyle w:val="Compact"/>
            </w:pPr>
            <w:r>
              <w:t xml:space="preserve">Vidéosurveillance</w:t>
            </w:r>
          </w:p>
        </w:tc>
        <w:tc>
          <w:tcPr>
            <w:tcW w:w="116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B8-2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5109" w:type="dxa"/>
          </w:tcPr>
          <w:tcPr/>
          <w:p>
            <w:pPr>
              <w:keepNext/>
              <w:pStyle w:val="Compact"/>
            </w:pPr>
            <w:r>
              <w:t xml:space="preserve">Contrôle d’accès : lecteur, gâche, ventouse · droits et plages horaires</w:t>
            </w:r>
          </w:p>
        </w:tc>
      </w:tr>
      <w:tr>
        <w:trPr>
          <w:cantSplit/>
        </w:trPr>
        <w:tc>
          <w:tcPr>
            <w:tcW w:w="1166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20</w:t>
            </w:r>
          </w:p>
        </w:tc>
        <w:tc>
          <w:tcPr>
            <w:tcW w:w="2197" w:type="dxa"/>
          </w:tcPr>
          <w:tcPr/>
          <w:p>
            <w:pPr>
              <w:pStyle w:val="Compact"/>
            </w:pPr>
            <w:r>
              <w:t xml:space="preserve">SSI, balisage et sources secourues</w:t>
            </w:r>
          </w:p>
        </w:tc>
        <w:tc>
          <w:tcPr>
            <w:tcW w:w="1166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B8-2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5109" w:type="dxa"/>
          </w:tcPr>
          <w:tcPr/>
          <w:p>
            <w:pPr>
              <w:pStyle w:val="Compact"/>
            </w:pPr>
            <w:r>
              <w:t xml:space="preserve">Interphonie : platine de rue, moniteur, commande de gâche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semaine 16 du fil A constitue le socle des quatre suivantes.</w:t>
      </w:r>
      <w:r>
        <w:t xml:space="preserve"> </w:t>
      </w:r>
      <w:r>
        <w:t xml:space="preserve">Le référentiel énonce</w:t>
      </w:r>
      <w:r>
        <w:t xml:space="preserve"> </w:t>
      </w:r>
      <w:r>
        <w:t xml:space="preserve">ses dix domaines d’application avec exactement les mêmes cinq rubriques, principe,</w:t>
      </w:r>
      <w:r>
        <w:t xml:space="preserve"> </w:t>
      </w:r>
      <w:r>
        <w:t xml:space="preserve">grandeurs caractéristiques, types de signaux, choix, paramétrage. Ce qui leur est</w:t>
      </w:r>
      <w:r>
        <w:t xml:space="preserve"> </w:t>
      </w:r>
      <w:r>
        <w:t xml:space="preserve">réellement commun est</w:t>
      </w:r>
      <w:r>
        <w:t xml:space="preserve"> </w:t>
      </w:r>
      <w:r>
        <w:rPr>
          <w:b/>
          <w:bCs/>
        </w:rPr>
        <w:t xml:space="preserve">l’analyse des risques, la protection périmétrique et</w:t>
      </w:r>
      <w:r>
        <w:rPr>
          <w:b/>
          <w:bCs/>
        </w:rPr>
        <w:t xml:space="preserve"> </w:t>
      </w:r>
      <w:r>
        <w:rPr>
          <w:b/>
          <w:bCs/>
        </w:rPr>
        <w:t xml:space="preserve">volumétrique, le zonage</w:t>
      </w:r>
      <w:r>
        <w:t xml:space="preserve">. Sans cette semaine, les quatre suivantes se réduiraient à</w:t>
      </w:r>
      <w:r>
        <w:t xml:space="preserve"> </w:t>
      </w:r>
      <w:r>
        <w:t xml:space="preserve">quatre catalogues.</w:t>
      </w:r>
    </w:p>
    <w:p>
      <w:pPr>
        <w:pStyle w:val="BodyText"/>
      </w:pPr>
      <w:r>
        <w:rPr>
          <w:b/>
          <w:bCs/>
        </w:rPr>
        <w:t xml:space="preserve">C’est à ce moment que le décalage entre les deux fils est le plus important</w:t>
      </w:r>
      <w:r>
        <w:t xml:space="preserve">, jusqu’à</w:t>
      </w:r>
      <w:r>
        <w:t xml:space="preserve"> </w:t>
      </w:r>
      <w:r>
        <w:t xml:space="preserve">trois semaines. Le fil B, mobilisé par le CCF, rattrape la sûreté de la semaine 19 à la</w:t>
      </w:r>
      <w:r>
        <w:t xml:space="preserve"> </w:t>
      </w:r>
      <w:r>
        <w:t xml:space="preserve">semaine 23.</w:t>
      </w:r>
    </w:p>
    <w:bookmarkEnd w:id="29"/>
    <w:bookmarkStart w:id="30" w:name="X73e2f2675f4cb2f0c81d994da2bff575fa64cc6"/>
    <w:p>
      <w:pPr>
        <w:keepNext/>
        <w:pStyle w:val="Heading1"/>
      </w:pPr>
      <w:r>
        <w:t xml:space="preserve">Phase 5. Énergie et régulation · semaines 21 à 24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184"/>
        <w:gridCol w:w="3060"/>
        <w:gridCol w:w="1608"/>
        <w:gridCol w:w="3786"/>
      </w:tblGrid>
      <w:tr>
        <w:trPr>
          <w:cantSplit/>
          <w:tblHeader w:val="on"/>
        </w:trPr>
        <w:tc>
          <w:tcPr>
            <w:tcW w:w="1184" w:type="dxa"/>
          </w:tcPr>
          <w:tcPr/>
          <w:p>
            <w:pPr>
              <w:keepNext/>
              <w:pStyle w:val="Compact"/>
            </w:pPr>
            <w:r>
              <w:t xml:space="preserve">Sem</w:t>
            </w:r>
          </w:p>
        </w:tc>
        <w:tc>
          <w:tcPr>
            <w:tcW w:w="3060" w:type="dxa"/>
          </w:tcPr>
          <w:tcPr/>
          <w:p>
            <w:pPr>
              <w:keepNext/>
              <w:pStyle w:val="Compact"/>
            </w:pPr>
            <w:r>
              <w:t xml:space="preserve">Fil A : études · 3 h</w:t>
            </w:r>
          </w:p>
        </w:tc>
        <w:tc>
          <w:tcPr>
            <w:tcW w:w="1608" w:type="dxa"/>
          </w:tcPr>
          <w:tcPr/>
          <w:p>
            <w:pPr>
              <w:keepNext/>
              <w:pStyle w:val="Compact"/>
            </w:pPr>
            <w:r>
              <w:t xml:space="preserve">Savoirs</w:t>
            </w:r>
          </w:p>
        </w:tc>
        <w:tc>
          <w:tcPr>
            <w:tcW w:w="3786" w:type="dxa"/>
          </w:tcPr>
          <w:tcPr/>
          <w:p>
            <w:pPr>
              <w:keepNext/>
              <w:pStyle w:val="Compact"/>
            </w:pPr>
            <w:r>
              <w:t xml:space="preserve">Fil B : atelier · 4 h</w:t>
            </w:r>
          </w:p>
        </w:tc>
      </w:tr>
      <w:tr>
        <w:trPr>
          <w:cantSplit/>
        </w:trPr>
        <w:tc>
          <w:tcPr>
            <w:tcW w:w="11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21</w:t>
            </w:r>
          </w:p>
        </w:tc>
        <w:tc>
          <w:tcPr>
            <w:tcW w:w="3060" w:type="dxa"/>
          </w:tcPr>
          <w:tcPr/>
          <w:p>
            <w:pPr>
              <w:keepNext/>
              <w:pStyle w:val="Compact"/>
            </w:pPr>
            <w:r>
              <w:t xml:space="preserve">Réguler : boucles, TOR, proportionnel, intermittence</w:t>
            </w:r>
          </w:p>
        </w:tc>
        <w:tc>
          <w:tcPr>
            <w:tcW w:w="160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B11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3786" w:type="dxa"/>
          </w:tcPr>
          <w:tcPr/>
          <w:p>
            <w:pPr>
              <w:keepNext/>
              <w:pStyle w:val="Compact"/>
            </w:pPr>
            <w:r>
              <w:t xml:space="preserve">Intrusion : centrale, détecteurs, sirène, transmetteur : mise en service</w:t>
            </w:r>
          </w:p>
        </w:tc>
      </w:tr>
      <w:tr>
        <w:trPr>
          <w:cantSplit/>
        </w:trPr>
        <w:tc>
          <w:tcPr>
            <w:tcW w:w="11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22</w:t>
            </w:r>
          </w:p>
        </w:tc>
        <w:tc>
          <w:tcPr>
            <w:tcW w:w="3060" w:type="dxa"/>
          </w:tcPr>
          <w:tcPr/>
          <w:p>
            <w:pPr>
              <w:keepNext/>
              <w:pStyle w:val="Compact"/>
            </w:pPr>
            <w:r>
              <w:t xml:space="preserve">Compter l’énergie · le TGBT communicant ·</w:t>
            </w:r>
            <w:r>
              <w:t xml:space="preserve"> </w:t>
            </w:r>
            <w:r>
              <w:rPr>
                <w:b/>
                <w:bCs/>
              </w:rPr>
              <w:t xml:space="preserve">É3 : DS 2 h</w:t>
            </w:r>
          </w:p>
        </w:tc>
        <w:tc>
          <w:tcPr>
            <w:tcW w:w="160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B9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C1-1 TGBT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3786" w:type="dxa"/>
          </w:tcPr>
          <w:tcPr/>
          <w:p>
            <w:pPr>
              <w:keepNext/>
              <w:pStyle w:val="Compact"/>
            </w:pPr>
            <w:r>
              <w:t xml:space="preserve">Vidéosurveillance : caméras IP, enregistreur, champs et stockage</w:t>
            </w:r>
          </w:p>
        </w:tc>
      </w:tr>
      <w:tr>
        <w:trPr>
          <w:cantSplit/>
        </w:trPr>
        <w:tc>
          <w:tcPr>
            <w:tcW w:w="1184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23</w:t>
            </w:r>
          </w:p>
        </w:tc>
        <w:tc>
          <w:tcPr>
            <w:tcW w:w="3060" w:type="dxa"/>
          </w:tcPr>
          <w:tcPr/>
          <w:p>
            <w:pPr>
              <w:keepNext/>
              <w:pStyle w:val="Compact"/>
            </w:pPr>
            <w:r>
              <w:t xml:space="preserve">Tarifer et délester</w:t>
            </w:r>
          </w:p>
        </w:tc>
        <w:tc>
          <w:tcPr>
            <w:tcW w:w="1608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C3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3786" w:type="dxa"/>
          </w:tcPr>
          <w:tcPr/>
          <w:p>
            <w:pPr>
              <w:keepNext/>
              <w:pStyle w:val="Compact"/>
            </w:pPr>
            <w:r>
              <w:t xml:space="preserve">SSI et BAES : essai d’alarme, test SATI, registre de sécurité</w:t>
            </w:r>
          </w:p>
        </w:tc>
      </w:tr>
      <w:tr>
        <w:trPr>
          <w:cantSplit/>
        </w:trPr>
        <w:tc>
          <w:tcPr>
            <w:tcW w:w="1184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24</w:t>
            </w:r>
          </w:p>
        </w:tc>
        <w:tc>
          <w:tcPr>
            <w:tcW w:w="3060" w:type="dxa"/>
          </w:tcPr>
          <w:tcPr/>
          <w:p>
            <w:pPr>
              <w:pStyle w:val="Compact"/>
            </w:pPr>
            <w:r>
              <w:t xml:space="preserve">Produire et stocker : photovoltaïque, éolien, accumulateurs</w:t>
            </w:r>
          </w:p>
        </w:tc>
        <w:tc>
          <w:tcPr>
            <w:tcW w:w="1608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B6-1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B6-2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B10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3786" w:type="dxa"/>
          </w:tcPr>
          <w:tcPr/>
          <w:p>
            <w:pPr>
              <w:pStyle w:val="Compact"/>
            </w:pPr>
            <w:r>
              <w:t xml:space="preserve">Régulation : régler une boucle, relever l’hystérésis et l’erreur statique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semaine 23 est la plus inattendue.</w:t>
      </w:r>
      <w:r>
        <w:t xml:space="preserve"> </w:t>
      </w:r>
      <w:r>
        <w:rPr>
          <w:i/>
          <w:iCs/>
        </w:rPr>
        <w:t xml:space="preserve">Calcul d’une facture à partir de</w:t>
      </w:r>
      <w:r>
        <w:rPr>
          <w:i/>
          <w:iCs/>
        </w:rPr>
        <w:t xml:space="preserve"> </w:t>
      </w:r>
      <w:r>
        <w:rPr>
          <w:i/>
          <w:iCs/>
        </w:rPr>
        <w:t xml:space="preserve">consommations réelles</w:t>
      </w:r>
      <w:r>
        <w:t xml:space="preserve"> </w:t>
      </w:r>
      <w:r>
        <w:t xml:space="preserve">et</w:t>
      </w:r>
      <w:r>
        <w:t xml:space="preserve"> </w:t>
      </w:r>
      <w:r>
        <w:rPr>
          <w:i/>
          <w:iCs/>
        </w:rPr>
        <w:t xml:space="preserve">solutions de délestage en fonction d’une tarification</w:t>
      </w:r>
      <w:r>
        <w:t xml:space="preserve"> </w:t>
      </w:r>
      <w:r>
        <w:t xml:space="preserve">sont</w:t>
      </w:r>
      <w:r>
        <w:t xml:space="preserve"> </w:t>
      </w:r>
      <w:r>
        <w:t xml:space="preserve">inscrits au</w:t>
      </w:r>
      <w:r>
        <w:t xml:space="preserve"> </w:t>
      </w:r>
      <w:r>
        <w:rPr>
          <w:b/>
          <w:bCs/>
        </w:rPr>
        <w:t xml:space="preserve">niveau 3 pour le DBC</w:t>
      </w:r>
      <w:r>
        <w:t xml:space="preserve">, contre 2 et 1 pour les autres options. Il ne s’agit</w:t>
      </w:r>
      <w:r>
        <w:t xml:space="preserve"> </w:t>
      </w:r>
      <w:r>
        <w:t xml:space="preserve">pas de gestion, mais d’un savoir technique de l’option, susceptible d’être évalué à</w:t>
      </w:r>
      <w:r>
        <w:t xml:space="preserve"> </w:t>
      </w:r>
      <w:r>
        <w:t xml:space="preserve">l’écrit.</w:t>
      </w:r>
    </w:p>
    <w:p>
      <w:pPr>
        <w:pStyle w:val="BodyText"/>
      </w:pPr>
      <w:r>
        <w:rPr>
          <w:b/>
          <w:bCs/>
        </w:rPr>
        <w:t xml:space="preserve">La semaine 24 recoupe la séance 22 de fluides de 2e année</w:t>
      </w:r>
      <w:r>
        <w:t xml:space="preserve">, qui traite déjà B6-1 et</w:t>
      </w:r>
      <w:r>
        <w:t xml:space="preserve"> </w:t>
      </w:r>
      <w:r>
        <w:t xml:space="preserve">B6-2. C’est le seul recouvrement de l’année : il est recommandé de l’arbitrer avec le</w:t>
      </w:r>
      <w:r>
        <w:t xml:space="preserve"> </w:t>
      </w:r>
      <w:r>
        <w:t xml:space="preserve">collègue de fluides plutôt que de traiter deux fois ces savoirs.</w:t>
      </w:r>
    </w:p>
    <w:bookmarkEnd w:id="30"/>
    <w:bookmarkStart w:id="31" w:name="Xc066816a83df547e41623ee5c3178d206ee765b"/>
    <w:p>
      <w:pPr>
        <w:keepNext/>
        <w:pStyle w:val="Heading1"/>
      </w:pPr>
      <w:r>
        <w:t xml:space="preserve">Phase 6. Supervision et restitution · semaines 25 et 26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173"/>
        <w:gridCol w:w="3568"/>
        <w:gridCol w:w="1173"/>
        <w:gridCol w:w="3724"/>
      </w:tblGrid>
      <w:tr>
        <w:trPr>
          <w:cantSplit/>
          <w:tblHeader w:val="on"/>
        </w:trPr>
        <w:tc>
          <w:tcPr>
            <w:tcW w:w="1173" w:type="dxa"/>
          </w:tcPr>
          <w:tcPr/>
          <w:p>
            <w:pPr>
              <w:keepNext/>
              <w:pStyle w:val="Compact"/>
            </w:pPr>
            <w:r>
              <w:t xml:space="preserve">Sem</w:t>
            </w:r>
          </w:p>
        </w:tc>
        <w:tc>
          <w:tcPr>
            <w:tcW w:w="3568" w:type="dxa"/>
          </w:tcPr>
          <w:tcPr/>
          <w:p>
            <w:pPr>
              <w:keepNext/>
              <w:pStyle w:val="Compact"/>
            </w:pPr>
            <w:r>
              <w:t xml:space="preserve">Fil A : études · 3 h</w:t>
            </w:r>
          </w:p>
        </w:tc>
        <w:tc>
          <w:tcPr>
            <w:tcW w:w="1173" w:type="dxa"/>
          </w:tcPr>
          <w:tcPr/>
          <w:p>
            <w:pPr>
              <w:keepNext/>
              <w:pStyle w:val="Compact"/>
            </w:pPr>
            <w:r>
              <w:t xml:space="preserve">Savoirs</w:t>
            </w:r>
          </w:p>
        </w:tc>
        <w:tc>
          <w:tcPr>
            <w:tcW w:w="3724" w:type="dxa"/>
          </w:tcPr>
          <w:tcPr/>
          <w:p>
            <w:pPr>
              <w:keepNext/>
              <w:pStyle w:val="Compact"/>
            </w:pPr>
            <w:r>
              <w:t xml:space="preserve">Fil B : atelier · 4 h</w:t>
            </w:r>
          </w:p>
        </w:tc>
      </w:tr>
      <w:tr>
        <w:trPr>
          <w:cantSplit/>
        </w:trPr>
        <w:tc>
          <w:tcPr>
            <w:tcW w:w="117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25</w:t>
            </w:r>
          </w:p>
        </w:tc>
        <w:tc>
          <w:tcPr>
            <w:tcW w:w="3568" w:type="dxa"/>
          </w:tcPr>
          <w:tcPr/>
          <w:p>
            <w:pPr>
              <w:keepNext/>
              <w:pStyle w:val="Compact"/>
            </w:pPr>
            <w:r>
              <w:t xml:space="preserve">La GTB : supervision, hypervision, alarmes techniques ·</w:t>
            </w:r>
            <w:r>
              <w:t xml:space="preserve"> </w:t>
            </w:r>
            <w:r>
              <w:rPr>
                <w:b/>
                <w:bCs/>
              </w:rPr>
              <w:t xml:space="preserve">É4 : DS 2 h</w:t>
            </w:r>
          </w:p>
        </w:tc>
        <w:tc>
          <w:tcPr>
            <w:tcW w:w="1173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B8-1</w:t>
            </w:r>
            <w:r>
              <w:t xml:space="preserve"> </w:t>
            </w:r>
            <w:r>
              <w:t xml:space="preserve">·</w:t>
            </w:r>
            <w:r>
              <w:t xml:space="preserve"> </w:t>
            </w:r>
            <w:r>
              <w:rPr>
                <w:b/>
                <w:bCs/>
              </w:rPr>
              <w:t xml:space="preserve">B8-2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  <w:i/>
                <w:iCs/>
              </w:rPr>
              <w:t xml:space="preserve">(3)</w:t>
            </w:r>
          </w:p>
        </w:tc>
        <w:tc>
          <w:tcPr>
            <w:tcW w:w="3724" w:type="dxa"/>
          </w:tcPr>
          <w:tcPr/>
          <w:p>
            <w:pPr>
              <w:keepNext/>
              <w:pStyle w:val="Compact"/>
            </w:pPr>
            <w:r>
              <w:t xml:space="preserve">Comptage et délestage : câbler, relever, calculer</w:t>
            </w:r>
          </w:p>
        </w:tc>
      </w:tr>
      <w:tr>
        <w:trPr>
          <w:cantSplit/>
        </w:trPr>
        <w:tc>
          <w:tcPr>
            <w:tcW w:w="1173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26</w:t>
            </w:r>
          </w:p>
        </w:tc>
        <w:tc>
          <w:tcPr>
            <w:tcW w:w="3568" w:type="dxa"/>
          </w:tcPr>
          <w:tcPr/>
          <w:p>
            <w:pPr>
              <w:pStyle w:val="Compact"/>
            </w:pPr>
            <w:r>
              <w:t xml:space="preserve">Le dossier d’installation : notice, carnet de câbles, récolement</w:t>
            </w:r>
          </w:p>
        </w:tc>
        <w:tc>
          <w:tcPr>
            <w:tcW w:w="1173" w:type="dxa"/>
          </w:tcPr>
          <w:tcPr/>
          <w:p>
            <w:pPr>
              <w:pStyle w:val="Compact"/>
            </w:pPr>
            <w:r>
              <w:t xml:space="preserve">C6 · C14</w:t>
            </w:r>
          </w:p>
        </w:tc>
        <w:tc>
          <w:tcPr>
            <w:tcW w:w="3724" w:type="dxa"/>
          </w:tcPr>
          <w:tcPr/>
          <w:p>
            <w:pPr>
              <w:pStyle w:val="Compact"/>
            </w:pPr>
            <w:r>
              <w:t xml:space="preserve">GTB : bâtir un synoptique, régler les alarmes ·</w:t>
            </w:r>
            <w:r>
              <w:t xml:space="preserve"> </w:t>
            </w:r>
            <w:r>
              <w:rPr>
                <w:b/>
                <w:bCs/>
              </w:rPr>
              <w:t xml:space="preserve">remise du dossier · É5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notice d’utilisation est une exigence du référentiel, et non une simple</w:t>
      </w:r>
      <w:r>
        <w:rPr>
          <w:b/>
          <w:bCs/>
        </w:rPr>
        <w:t xml:space="preserve"> </w:t>
      </w:r>
      <w:r>
        <w:rPr>
          <w:b/>
          <w:bCs/>
        </w:rPr>
        <w:t xml:space="preserve">formalité.</w:t>
      </w:r>
      <w:r>
        <w:t xml:space="preserve"> </w:t>
      </w:r>
      <w:r>
        <w:t xml:space="preserve">Le libellé de C6 est le suivant : « la notice d’utilisation est élaborée et</w:t>
      </w:r>
      <w:r>
        <w:t xml:space="preserve"> </w:t>
      </w:r>
      <w:r>
        <w:t xml:space="preserve">expliquée ». Il s’agit d’un critère de performance, évalué en E5, situation 2, l’année</w:t>
      </w:r>
      <w:r>
        <w:t xml:space="preserve"> </w:t>
      </w:r>
      <w:r>
        <w:t xml:space="preserve">suivante.</w:t>
      </w:r>
    </w:p>
    <w:p>
      <w:r>
        <w:pict>
          <v:rect style="width:0;height:1.5pt" o:hralign="center" o:hrstd="t" o:hr="t"/>
        </w:pict>
      </w:r>
    </w:p>
    <w:bookmarkEnd w:id="31"/>
    <w:bookmarkStart w:id="32" w:name="X8fa545bf0954dc7cad42458c70d58571946d67e"/>
    <w:p>
      <w:pPr>
        <w:pStyle w:val="Heading1"/>
      </w:pPr>
      <w:r>
        <w:t xml:space="preserve">La coordination entre les deux enseignants</w:t>
      </w:r>
    </w:p>
    <w:p>
      <w:pPr>
        <w:pStyle w:val="FirstParagraph"/>
      </w:pPr>
      <w:r>
        <w:rPr>
          <w:b/>
          <w:bCs/>
        </w:rPr>
        <w:t xml:space="preserve">C’est le point de fragilité de tout enseignement à deux fils</w:t>
      </w:r>
      <w:r>
        <w:t xml:space="preserve"> </w:t>
      </w:r>
      <w:r>
        <w:t xml:space="preserve">; il se règle par trois</w:t>
      </w:r>
      <w:r>
        <w:t xml:space="preserve"> </w:t>
      </w:r>
      <w:r>
        <w:t xml:space="preserve">habitudes de travail plutôt que par des réunions.</w:t>
      </w:r>
    </w:p>
    <w:p>
      <w:pPr>
        <w:pStyle w:val="BodyText"/>
      </w:pPr>
      <w:r>
        <w:rPr>
          <w:b/>
          <w:bCs/>
        </w:rPr>
        <w:t xml:space="preserve">1. Le fil A produit, le fil B exploite.</w:t>
      </w:r>
      <w:r>
        <w:t xml:space="preserve"> </w:t>
      </w:r>
      <w:r>
        <w:t xml:space="preserve">Chaque semaine, le fil A produit une pièce</w:t>
      </w:r>
      <w:r>
        <w:t xml:space="preserve"> </w:t>
      </w:r>
      <w:r>
        <w:t xml:space="preserve">que le fil B utilise : un schéma, un choix de matériel, un plan de zonage, un métré.</w:t>
      </w:r>
      <w:r>
        <w:t xml:space="preserve"> </w:t>
      </w:r>
      <w:r>
        <w:t xml:space="preserve">Le fil B ne redemande jamais ce que le fil A a déjà fait produire.</w:t>
      </w:r>
    </w:p>
    <w:p>
      <w:pPr>
        <w:pStyle w:val="BodyText"/>
      </w:pPr>
      <w:r>
        <w:rPr>
          <w:b/>
          <w:bCs/>
        </w:rPr>
        <w:t xml:space="preserve">2. Un seul vocabulaire : celui du référentiel.</w:t>
      </w:r>
      <w:r>
        <w:t xml:space="preserve"> </w:t>
      </w:r>
      <w:r>
        <w:t xml:space="preserve">La difficulté est connue et apparaît</w:t>
      </w:r>
      <w:r>
        <w:t xml:space="preserve"> </w:t>
      </w:r>
      <w:r>
        <w:t xml:space="preserve">dès la première semaine : les fabricants appellent « actionneurs » des modules qui sont</w:t>
      </w:r>
      <w:r>
        <w:t xml:space="preserve"> </w:t>
      </w:r>
      <w:r>
        <w:t xml:space="preserve">des</w:t>
      </w:r>
      <w:r>
        <w:t xml:space="preserve"> </w:t>
      </w:r>
      <w:r>
        <w:rPr>
          <w:b/>
          <w:bCs/>
        </w:rPr>
        <w:t xml:space="preserve">pré-actionneurs</w:t>
      </w:r>
      <w:r>
        <w:t xml:space="preserve">. Les deux fils doivent adopter la même terminologie, faute de quoi</w:t>
      </w:r>
      <w:r>
        <w:t xml:space="preserve"> </w:t>
      </w:r>
      <w:r>
        <w:t xml:space="preserve">les étudiants apprennent deux langages.</w:t>
      </w:r>
    </w:p>
    <w:p>
      <w:pPr>
        <w:keepNext/>
        <w:pStyle w:val="BodyText"/>
      </w:pPr>
      <w:r>
        <w:rPr>
          <w:b/>
          <w:bCs/>
        </w:rPr>
        <w:t xml:space="preserve">3. Trois points de rendez-vous datés</w:t>
      </w:r>
      <w:r>
        <w:t xml:space="preserve">, et pas davantage :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2555"/>
        <w:gridCol w:w="7083"/>
      </w:tblGrid>
      <w:tr>
        <w:trPr>
          <w:cantSplit/>
          <w:tblHeader w:val="on"/>
        </w:trPr>
        <w:tc>
          <w:tcPr>
            <w:tcW w:w="2555" w:type="dxa"/>
          </w:tcPr>
          <w:tcPr/>
          <w:p>
            <w:pPr>
              <w:keepNext/>
              <w:pStyle w:val="Compact"/>
            </w:pPr>
            <w:r>
              <w:t xml:space="preserve">Quand</w:t>
            </w:r>
          </w:p>
        </w:tc>
        <w:tc>
          <w:tcPr>
            <w:tcW w:w="7083" w:type="dxa"/>
          </w:tcPr>
          <w:tcPr/>
          <w:p>
            <w:pPr>
              <w:keepNext/>
              <w:pStyle w:val="Compact"/>
            </w:pPr>
            <w:r>
              <w:t xml:space="preserve">Ce qui se décide</w:t>
            </w:r>
          </w:p>
        </w:tc>
      </w:tr>
      <w:tr>
        <w:trPr>
          <w:cantSplit/>
        </w:trPr>
        <w:tc>
          <w:tcPr>
            <w:tcW w:w="25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avant la semaine 8</w:t>
            </w:r>
          </w:p>
        </w:tc>
        <w:tc>
          <w:tcPr>
            <w:tcW w:w="7083" w:type="dxa"/>
          </w:tcPr>
          <w:tcPr/>
          <w:p>
            <w:pPr>
              <w:keepNext/>
              <w:pStyle w:val="Compact"/>
            </w:pPr>
            <w:r>
              <w:t xml:space="preserve">le support du CCF : testeur VDI, maquette, ou banc</w:t>
            </w:r>
          </w:p>
        </w:tc>
      </w:tr>
      <w:tr>
        <w:trPr>
          <w:cantSplit/>
        </w:trPr>
        <w:tc>
          <w:tcPr>
            <w:tcW w:w="255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avant la semaine 14</w:t>
            </w:r>
          </w:p>
        </w:tc>
        <w:tc>
          <w:tcPr>
            <w:tcW w:w="7083" w:type="dxa"/>
          </w:tcPr>
          <w:tcPr/>
          <w:p>
            <w:pPr>
              <w:keepNext/>
              <w:pStyle w:val="Compact"/>
            </w:pPr>
            <w:r>
              <w:t xml:space="preserve">le sujet de la situation de CCF et sa fiche de procédure</w:t>
            </w:r>
          </w:p>
        </w:tc>
      </w:tr>
      <w:tr>
        <w:trPr>
          <w:cantSplit/>
        </w:trPr>
        <w:tc>
          <w:tcPr>
            <w:tcW w:w="255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avant la semaine 19</w:t>
            </w:r>
          </w:p>
        </w:tc>
        <w:tc>
          <w:tcPr>
            <w:tcW w:w="7083" w:type="dxa"/>
          </w:tcPr>
          <w:tcPr/>
          <w:p>
            <w:pPr>
              <w:pStyle w:val="Compact"/>
            </w:pPr>
            <w:r>
              <w:t xml:space="preserve">qui évalue, et la grille : la circulaire nationale la fournit</w:t>
            </w:r>
          </w:p>
        </w:tc>
      </w:tr>
    </w:tbl>
    <w:p>
      <w:pPr>
        <w:pStyle w:val="BodyText"/>
      </w:pPr>
      <w:r>
        <w:rPr>
          <w:b/>
          <w:bCs/>
        </w:rPr>
        <w:t xml:space="preserve">Ce qui est produit une fois sert aux deux fils.</w:t>
      </w:r>
      <w:r>
        <w:t xml:space="preserve"> </w:t>
      </w:r>
      <w:r>
        <w:t xml:space="preserve">Les documents de séance sont rangés dans</w:t>
      </w:r>
      <w:r>
        <w:t xml:space="preserve"> </w:t>
      </w:r>
      <w:r>
        <w:rPr>
          <w:rStyle w:val="VerbatimChar"/>
        </w:rPr>
        <w:t xml:space="preserve">06-cours-domotique-1A</w:t>
      </w:r>
      <w:r>
        <w:t xml:space="preserve">, avec le préfixe</w:t>
      </w:r>
      <w:r>
        <w:t xml:space="preserve"> </w:t>
      </w:r>
      <w:r>
        <w:rPr>
          <w:rStyle w:val="VerbatimChar"/>
        </w:rPr>
        <w:t xml:space="preserve">DOMA</w:t>
      </w:r>
      <w:r>
        <w:t xml:space="preserve"> </w:t>
      </w:r>
      <w:r>
        <w:t xml:space="preserve">pour le fil A et</w:t>
      </w:r>
      <w:r>
        <w:t xml:space="preserve"> </w:t>
      </w:r>
      <w:r>
        <w:rPr>
          <w:rStyle w:val="VerbatimChar"/>
        </w:rPr>
        <w:t xml:space="preserve">DOMB</w:t>
      </w:r>
      <w:r>
        <w:t xml:space="preserve"> </w:t>
      </w:r>
      <w:r>
        <w:t xml:space="preserve">pour le fil B ;</w:t>
      </w:r>
      <w:r>
        <w:t xml:space="preserve"> </w:t>
      </w:r>
      <w:r>
        <w:t xml:space="preserve">les figures et les pages web sont communes.</w:t>
      </w:r>
    </w:p>
    <w:bookmarkEnd w:id="32"/>
    <w:bookmarkStart w:id="33" w:name="les-six-relevés-dentreprise"/>
    <w:p>
      <w:pPr>
        <w:pStyle w:val="Heading1"/>
      </w:pPr>
      <w:r>
        <w:t xml:space="preserve">Les six relevés d’entreprise</w:t>
      </w:r>
    </w:p>
    <w:p>
      <w:pPr>
        <w:keepNext/>
        <w:pStyle w:val="FirstParagraph"/>
      </w:pPr>
      <w:r>
        <w:rPr>
          <w:b/>
          <w:bCs/>
        </w:rPr>
        <w:t xml:space="preserve">Un relevé par phase, rapporté du chantier ou de l’agence.</w:t>
      </w:r>
      <w:r>
        <w:t xml:space="preserve"> </w:t>
      </w:r>
      <w:r>
        <w:t xml:space="preserve">Ces relevés ne sont pas</w:t>
      </w:r>
      <w:r>
        <w:t xml:space="preserve"> </w:t>
      </w:r>
      <w:r>
        <w:t xml:space="preserve">notés pour eux-mêmes : ils alimentent le dossier de E5 et le rapport d’activités de U62,</w:t>
      </w:r>
      <w:r>
        <w:t xml:space="preserve"> </w:t>
      </w:r>
      <w:r>
        <w:t xml:space="preserve">et ils fournissent aux séances un support dont le lycée ne dispose pas.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497"/>
        <w:gridCol w:w="1497"/>
        <w:gridCol w:w="6644"/>
      </w:tblGrid>
      <w:tr>
        <w:trPr>
          <w:cantSplit/>
          <w:tblHeader w:val="on"/>
        </w:trPr>
        <w:tc>
          <w:tcPr>
            <w:tcW w:w="1497" w:type="dxa"/>
          </w:tcPr>
          <w:tcPr/>
          <w:p>
            <w:pPr>
              <w:pStyle w:val="Compact"/>
            </w:pPr>
            <w:r>
              <w:t xml:space="preserve">Relevé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t xml:space="preserve">Après la</w:t>
            </w:r>
          </w:p>
        </w:tc>
        <w:tc>
          <w:tcPr>
            <w:tcW w:w="6644" w:type="dxa"/>
          </w:tcPr>
          <w:tcPr/>
          <w:p>
            <w:pPr>
              <w:pStyle w:val="Compact"/>
            </w:pPr>
            <w:r>
              <w:t xml:space="preserve">Ce qu’on rapporte</w:t>
            </w:r>
          </w:p>
        </w:tc>
      </w:tr>
      <w:tr>
        <w:trPr>
          <w:cantSplit/>
        </w:trPr>
        <w:tc>
          <w:tcPr>
            <w:tcW w:w="1497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n° 1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t xml:space="preserve">semaine 3</w:t>
            </w:r>
          </w:p>
        </w:tc>
        <w:tc>
          <w:tcPr>
            <w:tcW w:w="6644" w:type="dxa"/>
          </w:tcPr>
          <w:tcPr/>
          <w:p>
            <w:pPr>
              <w:pStyle w:val="Compact"/>
            </w:pPr>
            <w:r>
              <w:t xml:space="preserve">Photographier un tableau de communication et relever ce qu’il contient</w:t>
            </w:r>
          </w:p>
        </w:tc>
      </w:tr>
      <w:tr>
        <w:trPr>
          <w:cantSplit/>
        </w:trPr>
        <w:tc>
          <w:tcPr>
            <w:tcW w:w="1497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n° 2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t xml:space="preserve">semaine 10</w:t>
            </w:r>
          </w:p>
        </w:tc>
        <w:tc>
          <w:tcPr>
            <w:tcW w:w="6644" w:type="dxa"/>
          </w:tcPr>
          <w:tcPr/>
          <w:p>
            <w:pPr>
              <w:pStyle w:val="Compact"/>
            </w:pPr>
            <w:r>
              <w:t xml:space="preserve">Relever la baie de brassage d’un chantier et son repérage</w:t>
            </w:r>
          </w:p>
        </w:tc>
      </w:tr>
      <w:tr>
        <w:trPr>
          <w:cantSplit/>
        </w:trPr>
        <w:tc>
          <w:tcPr>
            <w:tcW w:w="1497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n° 3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t xml:space="preserve">semaine 13</w:t>
            </w:r>
          </w:p>
        </w:tc>
        <w:tc>
          <w:tcPr>
            <w:tcW w:w="6644" w:type="dxa"/>
          </w:tcPr>
          <w:tcPr/>
          <w:p>
            <w:pPr>
              <w:pStyle w:val="Compact"/>
            </w:pPr>
            <w:r>
              <w:t xml:space="preserve">Relever une fonction domotique livrée, et la notice remise avec</w:t>
            </w:r>
          </w:p>
        </w:tc>
      </w:tr>
      <w:tr>
        <w:trPr>
          <w:cantSplit/>
        </w:trPr>
        <w:tc>
          <w:tcPr>
            <w:tcW w:w="1497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n° 4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t xml:space="preserve">semaine 15</w:t>
            </w:r>
          </w:p>
        </w:tc>
        <w:tc>
          <w:tcPr>
            <w:tcW w:w="6644" w:type="dxa"/>
          </w:tcPr>
          <w:tcPr/>
          <w:p>
            <w:pPr>
              <w:pStyle w:val="Compact"/>
            </w:pPr>
            <w:r>
              <w:t xml:space="preserve">Rapporter une fiche d’essai ou un procès-verbal de réception</w:t>
            </w:r>
          </w:p>
        </w:tc>
      </w:tr>
      <w:tr>
        <w:trPr>
          <w:cantSplit/>
        </w:trPr>
        <w:tc>
          <w:tcPr>
            <w:tcW w:w="1497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n° 5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t xml:space="preserve">semaine 20</w:t>
            </w:r>
          </w:p>
        </w:tc>
        <w:tc>
          <w:tcPr>
            <w:tcW w:w="6644" w:type="dxa"/>
          </w:tcPr>
          <w:tcPr/>
          <w:p>
            <w:pPr>
              <w:pStyle w:val="Compact"/>
            </w:pPr>
            <w:r>
              <w:t xml:space="preserve">Relever le zonage d’un système de sûreté, ou l’implantation des BAES</w:t>
            </w:r>
          </w:p>
        </w:tc>
      </w:tr>
      <w:tr>
        <w:trPr>
          <w:cantSplit/>
        </w:trPr>
        <w:tc>
          <w:tcPr>
            <w:tcW w:w="1497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n° 6</w:t>
            </w:r>
          </w:p>
        </w:tc>
        <w:tc>
          <w:tcPr>
            <w:tcW w:w="1497" w:type="dxa"/>
          </w:tcPr>
          <w:tcPr/>
          <w:p>
            <w:pPr>
              <w:pStyle w:val="Compact"/>
            </w:pPr>
            <w:r>
              <w:t xml:space="preserve">semaine 24</w:t>
            </w:r>
          </w:p>
        </w:tc>
        <w:tc>
          <w:tcPr>
            <w:tcW w:w="6644" w:type="dxa"/>
          </w:tcPr>
          <w:tcPr/>
          <w:p>
            <w:pPr>
              <w:pStyle w:val="Compact"/>
            </w:pPr>
            <w:r>
              <w:t xml:space="preserve">Rapporter une facture d’électricité et son contrat de fourniture</w:t>
            </w:r>
          </w:p>
        </w:tc>
      </w:tr>
    </w:tbl>
    <w:bookmarkEnd w:id="33"/>
    <w:bookmarkStart w:id="37" w:name="X80bda3f9aa89674ec1f282d0618aed22ffa3d4c"/>
    <w:p>
      <w:pPr>
        <w:pStyle w:val="Heading1"/>
      </w:pPr>
      <w:r>
        <w:t xml:space="preserve">La marge. Et le problème qu’elle ne résout pas</w:t>
      </w:r>
    </w:p>
    <w:bookmarkStart w:id="34" w:name="X8c6825caf8e32fc5ba9a1ddffd8847d38267967"/>
    <w:p>
      <w:pPr>
        <w:keepNext/>
        <w:pStyle w:val="Heading2"/>
      </w:pPr>
      <w:r>
        <w:t xml:space="preserve">Trois semaines mobiles, toutes sur le fil B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436"/>
        <w:gridCol w:w="1436"/>
        <w:gridCol w:w="6766"/>
      </w:tblGrid>
      <w:tr>
        <w:trPr>
          <w:cantSplit/>
          <w:tblHeader w:val="on"/>
        </w:trPr>
        <w:tc>
          <w:tcPr>
            <w:tcW w:w="1436" w:type="dxa"/>
          </w:tcPr>
          <w:tcPr/>
          <w:p>
            <w:pPr>
              <w:keepNext/>
              <w:pStyle w:val="Compact"/>
            </w:pPr>
          </w:p>
        </w:tc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t xml:space="preserve">Semaine</w:t>
            </w:r>
          </w:p>
        </w:tc>
        <w:tc>
          <w:tcPr>
            <w:tcW w:w="6766" w:type="dxa"/>
          </w:tcPr>
          <w:tcPr/>
          <w:p>
            <w:pPr>
              <w:keepNext/>
              <w:pStyle w:val="Compact"/>
            </w:pPr>
            <w:r>
              <w:t xml:space="preserve">Ce qui la rend mobile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M1</w:t>
            </w:r>
          </w:p>
        </w:tc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t xml:space="preserve">4</w:t>
            </w:r>
          </w:p>
        </w:tc>
        <w:tc>
          <w:tcPr>
            <w:tcW w:w="6766" w:type="dxa"/>
          </w:tcPr>
          <w:tcPr/>
          <w:p>
            <w:pPr>
              <w:keepNext/>
              <w:pStyle w:val="Compact"/>
            </w:pPr>
            <w:r>
              <w:t xml:space="preserve">Il faut trois médias montés en même temps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M2</w:t>
            </w:r>
          </w:p>
        </w:tc>
        <w:tc>
          <w:tcPr>
            <w:tcW w:w="1436" w:type="dxa"/>
          </w:tcPr>
          <w:tcPr/>
          <w:p>
            <w:pPr>
              <w:keepNext/>
              <w:pStyle w:val="Compact"/>
            </w:pPr>
            <w:r>
              <w:t xml:space="preserve">16</w:t>
            </w:r>
          </w:p>
        </w:tc>
        <w:tc>
          <w:tcPr>
            <w:tcW w:w="6766" w:type="dxa"/>
          </w:tcPr>
          <w:tcPr/>
          <w:p>
            <w:pPr>
              <w:keepNext/>
              <w:pStyle w:val="Compact"/>
            </w:pPr>
            <w:r>
              <w:t xml:space="preserve">Il faut une installation en défaut, donc une installation</w:t>
            </w:r>
          </w:p>
        </w:tc>
      </w:tr>
      <w:tr>
        <w:trPr>
          <w:cantSplit/>
        </w:trPr>
        <w:tc>
          <w:tcPr>
            <w:tcW w:w="1436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M3</w:t>
            </w:r>
          </w:p>
        </w:tc>
        <w:tc>
          <w:tcPr>
            <w:tcW w:w="1436" w:type="dxa"/>
          </w:tcPr>
          <w:tcPr/>
          <w:p>
            <w:pPr>
              <w:pStyle w:val="Compact"/>
            </w:pPr>
            <w:r>
              <w:t xml:space="preserve">26</w:t>
            </w:r>
          </w:p>
        </w:tc>
        <w:tc>
          <w:tcPr>
            <w:tcW w:w="6766" w:type="dxa"/>
          </w:tcPr>
          <w:tcPr/>
          <w:p>
            <w:pPr>
              <w:pStyle w:val="Compact"/>
            </w:pPr>
            <w:r>
              <w:t xml:space="preserve">Il faut une supervision, même petite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dispositif retenu dans la progression de fluides ne peut pas être transposé ici.</w:t>
      </w:r>
      <w:r>
        <w:t xml:space="preserve"> </w:t>
      </w:r>
      <w:r>
        <w:t xml:space="preserve">En 2e année, les trois séances mobiles portent toutes des savoirs de</w:t>
      </w:r>
      <w:r>
        <w:t xml:space="preserve"> </w:t>
      </w:r>
      <w:r>
        <w:rPr>
          <w:b/>
          <w:bCs/>
        </w:rPr>
        <w:t xml:space="preserve">niveau 2</w:t>
      </w:r>
      <w:r>
        <w:t xml:space="preserve"> </w:t>
      </w:r>
      <w:r>
        <w:t xml:space="preserve">: la</w:t>
      </w:r>
      <w:r>
        <w:t xml:space="preserve"> </w:t>
      </w:r>
      <w:r>
        <w:t xml:space="preserve">souplesse n’y a aucun coût. En domotique,</w:t>
      </w:r>
      <w:r>
        <w:t xml:space="preserve"> </w:t>
      </w:r>
      <w:r>
        <w:rPr>
          <w:b/>
          <w:bCs/>
        </w:rPr>
        <w:t xml:space="preserve">presque tout est au niveau 3</w:t>
      </w:r>
      <w:r>
        <w:t xml:space="preserve"> </w:t>
      </w:r>
      <w:r>
        <w:t xml:space="preserve">: la marge ne</w:t>
      </w:r>
      <w:r>
        <w:t xml:space="preserve"> </w:t>
      </w:r>
      <w:r>
        <w:t xml:space="preserve">peut pas se prendre sur l’exigence ; elle se prend sur le support.</w:t>
      </w:r>
    </w:p>
    <w:p>
      <w:pPr>
        <w:pStyle w:val="BodyText"/>
      </w:pPr>
      <w:r>
        <w:rPr>
          <w:b/>
          <w:bCs/>
        </w:rPr>
        <w:t xml:space="preserve">Le fil A ne dépend d’aucun matériel.</w:t>
      </w:r>
      <w:r>
        <w:t xml:space="preserve"> </w:t>
      </w:r>
      <w:r>
        <w:t xml:space="preserve">C’est la véritable sécurité de ce découpage : si</w:t>
      </w:r>
      <w:r>
        <w:t xml:space="preserve"> </w:t>
      </w:r>
      <w:r>
        <w:t xml:space="preserve">rien n’est prêt en atelier, l’année progresse néanmoins dans le fil A.</w:t>
      </w:r>
    </w:p>
    <w:p>
      <w:pPr>
        <w:pStyle w:val="BodyText"/>
      </w:pPr>
      <w:r>
        <w:t xml:space="preserve">Trois solutions de repli sont prévues pour le fil B, par ordre de préférence :</w:t>
      </w:r>
    </w:p>
    <w:p>
      <w:pPr>
        <w:pStyle w:val="BodyText"/>
      </w:pPr>
      <w:r>
        <w:rPr>
          <w:b/>
          <w:bCs/>
        </w:rPr>
        <w:t xml:space="preserve">1. L’installation réelle</w:t>
      </w:r>
      <w:r>
        <w:t xml:space="preserve">, si le banc ou le plateau est disponible.</w:t>
      </w:r>
    </w:p>
    <w:p>
      <w:pPr>
        <w:pStyle w:val="BodyText"/>
      </w:pPr>
      <w:r>
        <w:rPr>
          <w:b/>
          <w:bCs/>
        </w:rPr>
        <w:t xml:space="preserve">2. La maquette de table.</w:t>
      </w:r>
      <w:r>
        <w:t xml:space="preserve"> </w:t>
      </w:r>
      <w:r>
        <w:t xml:space="preserve">Elle comprend une alimentation, deux poussoirs, un</w:t>
      </w:r>
      <w:r>
        <w:t xml:space="preserve"> </w:t>
      </w:r>
      <w:r>
        <w:t xml:space="preserve">actionneur et un détecteur sur rail DIN. D’un coût de quelques centaines d’euros par poste</w:t>
      </w:r>
      <w:r>
        <w:t xml:space="preserve"> </w:t>
      </w:r>
      <w:r>
        <w:t xml:space="preserve">et transportable, elle suffit pour l’adressage, le paramétrage et le diagnostic.</w:t>
      </w:r>
    </w:p>
    <w:p>
      <w:pPr>
        <w:pStyle w:val="BodyText"/>
      </w:pPr>
      <w:r>
        <w:rPr>
          <w:b/>
          <w:bCs/>
        </w:rPr>
        <w:t xml:space="preserve">3. Le logiciel seul</w:t>
      </w:r>
      <w:r>
        <w:t xml:space="preserve">, en simulation. Cette solution est acceptable pour C6,</w:t>
      </w:r>
      <w:r>
        <w:t xml:space="preserve"> </w:t>
      </w:r>
      <w:r>
        <w:rPr>
          <w:b/>
          <w:bCs/>
        </w:rPr>
        <w:t xml:space="preserve">mais non</w:t>
      </w:r>
      <w:r>
        <w:rPr>
          <w:b/>
          <w:bCs/>
        </w:rPr>
        <w:t xml:space="preserve"> </w:t>
      </w:r>
      <w:r>
        <w:rPr>
          <w:b/>
          <w:bCs/>
        </w:rPr>
        <w:t xml:space="preserve">pour C7</w:t>
      </w:r>
      <w:r>
        <w:t xml:space="preserve"> </w:t>
      </w:r>
      <w:r>
        <w:t xml:space="preserve">: un simulateur ne permet aucune mesure.</w:t>
      </w:r>
    </w:p>
    <w:bookmarkEnd w:id="34"/>
    <w:bookmarkStart w:id="35" w:name="le-point-à-arbitrer-avant-la-semaine-8"/>
    <w:p>
      <w:pPr>
        <w:pStyle w:val="Heading2"/>
      </w:pPr>
      <w:r>
        <w:t xml:space="preserve">Le point à arbitrer avant la semaine 8</w:t>
      </w:r>
    </w:p>
    <w:p>
      <w:pPr>
        <w:keepNext/>
        <w:pStyle w:val="FirstParagraph"/>
      </w:pPr>
      <w:r>
        <w:rPr>
          <w:b/>
          <w:bCs/>
        </w:rPr>
        <w:t xml:space="preserve">La situation 1 du CCF exige un système réel.</w:t>
      </w:r>
      <w:r>
        <w:t xml:space="preserve"> </w:t>
      </w:r>
      <w:r>
        <w:t xml:space="preserve">Le libellé de C7 est le suivant :</w:t>
      </w:r>
      <w:r>
        <w:t xml:space="preserve"> </w:t>
      </w:r>
      <w:r>
        <w:t xml:space="preserve">« une installation, un équipement avec son dossier technique, matériels appropriés,</w:t>
      </w:r>
      <w:r>
        <w:t xml:space="preserve"> </w:t>
      </w:r>
      <w:r>
        <w:t xml:space="preserve">appareils de mesure ». Un simulateur ne permet pas de la valider. Le banc GTB de</w:t>
      </w:r>
      <w:r>
        <w:t xml:space="preserve"> </w:t>
      </w:r>
      <w:r>
        <w:rPr>
          <w:rStyle w:val="VerbatimChar"/>
        </w:rPr>
        <w:t xml:space="preserve">14-projet-banc-gtb</w:t>
      </w:r>
      <w:r>
        <w:t xml:space="preserve"> </w:t>
      </w:r>
      <w:r>
        <w:t xml:space="preserve">n’est pas monté, et son ordre de construction n’est pas arrêté.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2122"/>
        <w:gridCol w:w="2182"/>
        <w:gridCol w:w="5334"/>
      </w:tblGrid>
      <w:tr>
        <w:trPr>
          <w:cantSplit/>
          <w:tblHeader w:val="on"/>
        </w:trPr>
        <w:tc>
          <w:tcPr>
            <w:tcW w:w="2122" w:type="dxa"/>
          </w:tcPr>
          <w:tcPr/>
          <w:p>
            <w:pPr>
              <w:keepNext/>
              <w:pStyle w:val="Compact"/>
            </w:pPr>
            <w:r>
              <w:t xml:space="preserve">Support</w:t>
            </w:r>
          </w:p>
        </w:tc>
        <w:tc>
          <w:tcPr>
            <w:tcW w:w="2182" w:type="dxa"/>
          </w:tcPr>
          <w:tcPr/>
          <w:p>
            <w:pPr>
              <w:keepNext/>
              <w:pStyle w:val="Compact"/>
            </w:pPr>
            <w:r>
              <w:t xml:space="preserve">Ce qu’il coûte</w:t>
            </w:r>
          </w:p>
        </w:tc>
        <w:tc>
          <w:tcPr>
            <w:tcW w:w="5334" w:type="dxa"/>
          </w:tcPr>
          <w:tcPr/>
          <w:p>
            <w:pPr>
              <w:keepNext/>
              <w:pStyle w:val="Compact"/>
            </w:pPr>
            <w:r>
              <w:t xml:space="preserve">Ce qu’il permet</w:t>
            </w:r>
          </w:p>
        </w:tc>
      </w:tr>
      <w:tr>
        <w:trPr>
          <w:cantSplit/>
        </w:trPr>
        <w:tc>
          <w:tcPr>
            <w:tcW w:w="2122" w:type="dxa"/>
          </w:tcPr>
          <w:tcPr/>
          <w:p>
            <w:pPr>
              <w:keepNext/>
              <w:pStyle w:val="Compact"/>
            </w:pPr>
            <w:r>
              <w:t xml:space="preserve">Le banc GTB, s’il est monté à temps</w:t>
            </w:r>
          </w:p>
        </w:tc>
        <w:tc>
          <w:tcPr>
            <w:tcW w:w="2182" w:type="dxa"/>
          </w:tcPr>
          <w:tcPr/>
          <w:p>
            <w:pPr>
              <w:keepNext/>
              <w:pStyle w:val="Compact"/>
            </w:pPr>
            <w:r>
              <w:t xml:space="preserve">le calendrier de construction</w:t>
            </w:r>
          </w:p>
        </w:tc>
        <w:tc>
          <w:tcPr>
            <w:tcW w:w="5334" w:type="dxa"/>
          </w:tcPr>
          <w:tcPr/>
          <w:p>
            <w:pPr>
              <w:keepNext/>
              <w:pStyle w:val="Compact"/>
            </w:pPr>
            <w:r>
              <w:t xml:space="preserve">tout, et il sert aussi en 2e année</w:t>
            </w:r>
          </w:p>
        </w:tc>
      </w:tr>
      <w:tr>
        <w:trPr>
          <w:cantSplit/>
        </w:trPr>
        <w:tc>
          <w:tcPr>
            <w:tcW w:w="2122" w:type="dxa"/>
          </w:tcPr>
          <w:tcPr/>
          <w:p>
            <w:pPr>
              <w:keepNext/>
              <w:pStyle w:val="Compact"/>
            </w:pPr>
            <w:r>
              <w:t xml:space="preserve">Une maquette de table par binôme</w:t>
            </w:r>
          </w:p>
        </w:tc>
        <w:tc>
          <w:tcPr>
            <w:tcW w:w="2182" w:type="dxa"/>
          </w:tcPr>
          <w:tcPr/>
          <w:p>
            <w:pPr>
              <w:keepNext/>
              <w:pStyle w:val="Compact"/>
            </w:pPr>
            <w:r>
              <w:t xml:space="preserve">quelques centaines d’euros par poste</w:t>
            </w:r>
          </w:p>
        </w:tc>
        <w:tc>
          <w:tcPr>
            <w:tcW w:w="5334" w:type="dxa"/>
          </w:tcPr>
          <w:tcPr/>
          <w:p>
            <w:pPr>
              <w:keepNext/>
              <w:pStyle w:val="Compact"/>
            </w:pPr>
            <w:r>
              <w:t xml:space="preserve">adressage, paramétrage, mesures de bus, recherche de panne</w:t>
            </w:r>
          </w:p>
        </w:tc>
      </w:tr>
      <w:tr>
        <w:trPr>
          <w:cantSplit/>
        </w:trPr>
        <w:tc>
          <w:tcPr>
            <w:tcW w:w="2122" w:type="dxa"/>
          </w:tcPr>
          <w:tcPr/>
          <w:p>
            <w:pPr>
              <w:pStyle w:val="Compact"/>
            </w:pPr>
            <w:r>
              <w:t xml:space="preserve">Le lien VDI et son testeur</w:t>
            </w:r>
          </w:p>
        </w:tc>
        <w:tc>
          <w:tcPr>
            <w:tcW w:w="2182" w:type="dxa"/>
          </w:tcPr>
          <w:tcPr/>
          <w:p>
            <w:pPr>
              <w:pStyle w:val="Compact"/>
            </w:pPr>
            <w:r>
              <w:t xml:space="preserve">un testeur de câblage</w:t>
            </w:r>
          </w:p>
        </w:tc>
        <w:tc>
          <w:tcPr>
            <w:tcW w:w="5334" w:type="dxa"/>
          </w:tcPr>
          <w:tcPr/>
          <w:p>
            <w:pPr>
              <w:pStyle w:val="Compact"/>
            </w:pPr>
            <w:r>
              <w:t xml:space="preserve">un essai chiffré, normatif, avec procès-verbal :</w:t>
            </w:r>
            <w:r>
              <w:t xml:space="preserve"> </w:t>
            </w:r>
            <w:r>
              <w:rPr>
                <w:b/>
                <w:bCs/>
              </w:rPr>
              <w:t xml:space="preserve">le plus proche de la forme d’un essai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troisième est le plus sûr</w:t>
      </w:r>
      <w:r>
        <w:t xml:space="preserve">, ce qui explique que la semaine 8 soit placée tôt : si</w:t>
      </w:r>
      <w:r>
        <w:t xml:space="preserve"> </w:t>
      </w:r>
      <w:r>
        <w:t xml:space="preserve">rien d’autre n’est prêt, la certification d’un lien VDI suffit à elle seule à porter la</w:t>
      </w:r>
      <w:r>
        <w:t xml:space="preserve"> </w:t>
      </w:r>
      <w:r>
        <w:t xml:space="preserve">situation 1.</w:t>
      </w:r>
    </w:p>
    <w:bookmarkEnd w:id="35"/>
    <w:bookmarkStart w:id="36" w:name="X9ab71de64f166eb2db96fc95f313145994fb496"/>
    <w:p>
      <w:pPr>
        <w:pStyle w:val="Heading2"/>
      </w:pPr>
      <w:r>
        <w:t xml:space="preserve">Si le calendrier donne moins de 26 semaines</w:t>
      </w:r>
    </w:p>
    <w:p>
      <w:pPr>
        <w:keepNext/>
        <w:pStyle w:val="FirstParagraph"/>
      </w:pPr>
      <w:r>
        <w:rPr>
          <w:b/>
          <w:bCs/>
        </w:rPr>
        <w:t xml:space="preserve">Supprimer une semaine revient à amputer les deux fils à la fois</w:t>
      </w:r>
      <w:r>
        <w:t xml:space="preserve">, soit 7 heures.</w:t>
      </w:r>
      <w:r>
        <w:t xml:space="preserve"> </w:t>
      </w:r>
      <w:r>
        <w:t xml:space="preserve">L’ordre de suppression est donc fixé à l’avance, afin que la décision ne soit pas prise</w:t>
      </w:r>
      <w:r>
        <w:t xml:space="preserve"> </w:t>
      </w:r>
      <w:r>
        <w:t xml:space="preserve">dans l’urgence en mars.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542"/>
        <w:gridCol w:w="1581"/>
        <w:gridCol w:w="6515"/>
      </w:tblGrid>
      <w:tr>
        <w:trPr>
          <w:cantSplit/>
          <w:tblHeader w:val="on"/>
        </w:trPr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t xml:space="preserve">Ordre</w:t>
            </w:r>
          </w:p>
        </w:tc>
        <w:tc>
          <w:tcPr>
            <w:tcW w:w="1581" w:type="dxa"/>
          </w:tcPr>
          <w:tcPr/>
          <w:p>
            <w:pPr>
              <w:keepNext/>
              <w:pStyle w:val="Compact"/>
            </w:pPr>
            <w:r>
              <w:t xml:space="preserve">Semaine abandonnée</w:t>
            </w:r>
          </w:p>
        </w:tc>
        <w:tc>
          <w:tcPr>
            <w:tcW w:w="6515" w:type="dxa"/>
          </w:tcPr>
          <w:tcPr/>
          <w:p>
            <w:pPr>
              <w:keepNext/>
              <w:pStyle w:val="Compact"/>
            </w:pPr>
            <w:r>
              <w:t xml:space="preserve">Ce que cela coûte</w:t>
            </w:r>
          </w:p>
        </w:tc>
      </w:tr>
      <w:tr>
        <w:trPr>
          <w:cantSplit/>
        </w:trPr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1er</w:t>
            </w:r>
          </w:p>
        </w:tc>
        <w:tc>
          <w:tcPr>
            <w:tcW w:w="1581" w:type="dxa"/>
          </w:tcPr>
          <w:tcPr/>
          <w:p>
            <w:pPr>
              <w:keepNext/>
              <w:pStyle w:val="Compact"/>
            </w:pPr>
            <w:r>
              <w:t xml:space="preserve">24 : produire et stocker</w:t>
            </w:r>
          </w:p>
        </w:tc>
        <w:tc>
          <w:tcPr>
            <w:tcW w:w="6515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B6 est déjà traité en fluides</w:t>
            </w:r>
            <w:r>
              <w:t xml:space="preserve">, séance 22 de 2e année ; les accumulateurs se replient sur la semaine 20</w:t>
            </w:r>
          </w:p>
        </w:tc>
      </w:tr>
      <w:tr>
        <w:trPr>
          <w:cantSplit/>
        </w:trPr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2e</w:t>
            </w:r>
          </w:p>
        </w:tc>
        <w:tc>
          <w:tcPr>
            <w:tcW w:w="1581" w:type="dxa"/>
          </w:tcPr>
          <w:tcPr/>
          <w:p>
            <w:pPr>
              <w:keepNext/>
              <w:pStyle w:val="Compact"/>
            </w:pPr>
            <w:r>
              <w:t xml:space="preserve">7 : la CEM</w:t>
            </w:r>
          </w:p>
        </w:tc>
        <w:tc>
          <w:tcPr>
            <w:tcW w:w="6515" w:type="dxa"/>
          </w:tcPr>
          <w:tcPr/>
          <w:p>
            <w:pPr>
              <w:keepNext/>
              <w:pStyle w:val="Compact"/>
            </w:pPr>
            <w:r>
              <w:t xml:space="preserve">D2-1 CEM est le seul savoir de</w:t>
            </w:r>
            <w:r>
              <w:t xml:space="preserve"> </w:t>
            </w:r>
            <w:r>
              <w:rPr>
                <w:b/>
                <w:bCs/>
              </w:rPr>
              <w:t xml:space="preserve">niveau 2</w:t>
            </w:r>
            <w:r>
              <w:t xml:space="preserve"> </w:t>
            </w:r>
            <w:r>
              <w:t xml:space="preserve">de tout le bloc Communication</w:t>
            </w:r>
          </w:p>
        </w:tc>
      </w:tr>
      <w:tr>
        <w:trPr>
          <w:cantSplit/>
        </w:trPr>
        <w:tc>
          <w:tcPr>
            <w:tcW w:w="1542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3e</w:t>
            </w:r>
          </w:p>
        </w:tc>
        <w:tc>
          <w:tcPr>
            <w:tcW w:w="1581" w:type="dxa"/>
          </w:tcPr>
          <w:tcPr/>
          <w:p>
            <w:pPr>
              <w:keepNext/>
              <w:pStyle w:val="Compact"/>
            </w:pPr>
            <w:r>
              <w:t xml:space="preserve">19 : vidéosurveillance</w:t>
            </w:r>
          </w:p>
        </w:tc>
        <w:tc>
          <w:tcPr>
            <w:tcW w:w="6515" w:type="dxa"/>
          </w:tcPr>
          <w:tcPr/>
          <w:p>
            <w:pPr>
              <w:keepNext/>
              <w:pStyle w:val="Compact"/>
            </w:pPr>
            <w:r>
              <w:t xml:space="preserve">se greffe sur les semaines 16 et 17, dont elle partage le zonage et le réseau</w:t>
            </w:r>
          </w:p>
        </w:tc>
      </w:tr>
      <w:tr>
        <w:trPr>
          <w:cantSplit/>
        </w:trPr>
        <w:tc>
          <w:tcPr>
            <w:tcW w:w="1542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4e</w:t>
            </w:r>
          </w:p>
        </w:tc>
        <w:tc>
          <w:tcPr>
            <w:tcW w:w="1581" w:type="dxa"/>
          </w:tcPr>
          <w:tcPr/>
          <w:p>
            <w:pPr>
              <w:pStyle w:val="Compact"/>
            </w:pPr>
            <w:r>
              <w:t xml:space="preserve">13 : moteurs et variation</w:t>
            </w:r>
          </w:p>
        </w:tc>
        <w:tc>
          <w:tcPr>
            <w:tcW w:w="6515" w:type="dxa"/>
          </w:tcPr>
          <w:tcPr/>
          <w:p>
            <w:pPr>
              <w:pStyle w:val="Compact"/>
            </w:pPr>
            <w:r>
              <w:t xml:space="preserve">C2 est au niveau 2, et le volet roulant reste traité côté atelier</w:t>
            </w:r>
          </w:p>
        </w:tc>
      </w:tr>
    </w:tbl>
    <w:p>
      <w:pPr>
        <w:pStyle w:val="BodyText"/>
      </w:pPr>
      <w:r>
        <w:rPr>
          <w:b/>
          <w:bCs/>
        </w:rPr>
        <w:t xml:space="preserve">Aucune autre semaine ne peut être supprimée</w:t>
      </w:r>
      <w:r>
        <w:t xml:space="preserve"> </w:t>
      </w:r>
      <w:r>
        <w:t xml:space="preserve">: toutes portent un savoir de niveau 3</w:t>
      </w:r>
      <w:r>
        <w:t xml:space="preserve"> </w:t>
      </w:r>
      <w:r>
        <w:t xml:space="preserve">propre à l’option ou la préparation directe du CCF.</w:t>
      </w:r>
    </w:p>
    <w:p>
      <w:pPr>
        <w:pStyle w:val="BodyText"/>
      </w:pPr>
      <w:r>
        <w:rPr>
          <w:b/>
          <w:bCs/>
        </w:rPr>
        <w:t xml:space="preserve">Les semaines 14 à 18 ne peuvent pas être déplacées.</w:t>
      </w:r>
      <w:r>
        <w:t xml:space="preserve"> </w:t>
      </w:r>
      <w:r>
        <w:t xml:space="preserve">Elles constituent la séquence du</w:t>
      </w:r>
      <w:r>
        <w:t xml:space="preserve"> </w:t>
      </w:r>
      <w:r>
        <w:t xml:space="preserve">CCF, sur les deux fils, et leur durée est déjà réduite au minimum.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38" w:name="plan-dévaluation.-cinq-notes-et-un-ccf"/>
    <w:p>
      <w:pPr>
        <w:keepNext/>
        <w:pStyle w:val="Heading1"/>
      </w:pPr>
      <w:r>
        <w:t xml:space="preserve">Plan d’évaluation. Cinq notes et un CCF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725"/>
        <w:gridCol w:w="725"/>
        <w:gridCol w:w="725"/>
        <w:gridCol w:w="2009"/>
        <w:gridCol w:w="4730"/>
        <w:gridCol w:w="724"/>
      </w:tblGrid>
      <w:tr>
        <w:trPr>
          <w:cantSplit/>
          <w:tblHeader w:val="on"/>
        </w:trPr>
        <w:tc>
          <w:tcPr>
            <w:tcW w:w="725" w:type="dxa"/>
          </w:tcPr>
          <w:tcPr/>
          <w:p>
            <w:pPr>
              <w:pStyle w:val="Compact"/>
            </w:pP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Sem.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Fil</w:t>
            </w:r>
          </w:p>
        </w:tc>
        <w:tc>
          <w:tcPr>
            <w:tcW w:w="2009" w:type="dxa"/>
          </w:tcPr>
          <w:tcPr/>
          <w:p>
            <w:pPr>
              <w:pStyle w:val="Compact"/>
            </w:pPr>
            <w:r>
              <w:t xml:space="preserve">Nature</w:t>
            </w:r>
          </w:p>
        </w:tc>
        <w:tc>
          <w:tcPr>
            <w:tcW w:w="4730" w:type="dxa"/>
          </w:tcPr>
          <w:tcPr/>
          <w:p>
            <w:pPr>
              <w:pStyle w:val="Compact"/>
            </w:pPr>
            <w:r>
              <w:t xml:space="preserve">Ce qu’elle mesure</w:t>
            </w:r>
          </w:p>
        </w:tc>
        <w:tc>
          <w:tcPr>
            <w:tcW w:w="724" w:type="dxa"/>
          </w:tcPr>
          <w:tcPr/>
          <w:p>
            <w:pPr>
              <w:pStyle w:val="Compact"/>
            </w:pPr>
            <w:r>
              <w:t xml:space="preserve">Coef.</w:t>
            </w:r>
          </w:p>
        </w:tc>
      </w:tr>
      <w:tr>
        <w:trPr>
          <w:cantSplit/>
        </w:trPr>
        <w:tc>
          <w:tcPr>
            <w:tcW w:w="7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É0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B</w:t>
            </w:r>
          </w:p>
        </w:tc>
        <w:tc>
          <w:tcPr>
            <w:tcW w:w="2009" w:type="dxa"/>
          </w:tcPr>
          <w:tcPr/>
          <w:p>
            <w:pPr>
              <w:pStyle w:val="Compact"/>
            </w:pPr>
            <w:r>
              <w:t xml:space="preserve">Positionnement, 45 min</w:t>
            </w:r>
          </w:p>
        </w:tc>
        <w:tc>
          <w:tcPr>
            <w:tcW w:w="4730" w:type="dxa"/>
          </w:tcPr>
          <w:tcPr/>
          <w:p>
            <w:pPr>
              <w:pStyle w:val="Compact"/>
            </w:pPr>
            <w:r>
              <w:t xml:space="preserve">ce qui est acquis du bac pro : schéma, circuit, réseau</w:t>
            </w:r>
          </w:p>
        </w:tc>
        <w:tc>
          <w:tcPr>
            <w:tcW w:w="724" w:type="dxa"/>
          </w:tcPr>
          <w:tcPr/>
          <w:p>
            <w:pPr>
              <w:pStyle w:val="Compact"/>
            </w:pPr>
            <w:r>
              <w:rPr>
                <w:i/>
                <w:iCs/>
              </w:rPr>
              <w:t xml:space="preserve">non noté</w:t>
            </w:r>
          </w:p>
        </w:tc>
      </w:tr>
      <w:tr>
        <w:trPr>
          <w:cantSplit/>
        </w:trPr>
        <w:tc>
          <w:tcPr>
            <w:tcW w:w="7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É1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10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A</w:t>
            </w:r>
          </w:p>
        </w:tc>
        <w:tc>
          <w:tcPr>
            <w:tcW w:w="2009" w:type="dxa"/>
          </w:tcPr>
          <w:tcPr/>
          <w:p>
            <w:pPr>
              <w:pStyle w:val="Compact"/>
            </w:pPr>
            <w:r>
              <w:t xml:space="preserve">DS, 2 h</w:t>
            </w:r>
          </w:p>
        </w:tc>
        <w:tc>
          <w:tcPr>
            <w:tcW w:w="4730" w:type="dxa"/>
          </w:tcPr>
          <w:tcPr/>
          <w:p>
            <w:pPr>
              <w:pStyle w:val="Compact"/>
            </w:pPr>
            <w:r>
              <w:t xml:space="preserve">médias, topologie, réseau IP, CEM, VDI, téléphonie : le socle de l’option</w:t>
            </w:r>
          </w:p>
        </w:tc>
        <w:tc>
          <w:tcPr>
            <w:tcW w:w="724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7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É2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14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B</w:t>
            </w:r>
          </w:p>
        </w:tc>
        <w:tc>
          <w:tcPr>
            <w:tcW w:w="2009" w:type="dxa"/>
          </w:tcPr>
          <w:tcPr/>
          <w:p>
            <w:pPr>
              <w:pStyle w:val="Compact"/>
            </w:pPr>
            <w:r>
              <w:t xml:space="preserve">TP noté, 2 h</w:t>
            </w:r>
          </w:p>
        </w:tc>
        <w:tc>
          <w:tcPr>
            <w:tcW w:w="473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C6</w:t>
            </w:r>
            <w:r>
              <w:t xml:space="preserve"> </w:t>
            </w:r>
            <w:r>
              <w:t xml:space="preserve">: réaliser une fonction imposée, et sa notice</w:t>
            </w:r>
          </w:p>
        </w:tc>
        <w:tc>
          <w:tcPr>
            <w:tcW w:w="724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7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CCF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18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B</w:t>
            </w:r>
          </w:p>
        </w:tc>
        <w:tc>
          <w:tcPr>
            <w:tcW w:w="2009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E5 situation 1, 4 h</w:t>
            </w:r>
          </w:p>
        </w:tc>
        <w:tc>
          <w:tcPr>
            <w:tcW w:w="4730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C7</w:t>
            </w:r>
            <w:r>
              <w:t xml:space="preserve"> </w:t>
            </w:r>
            <w:r>
              <w:t xml:space="preserve">: essais et mesures</w:t>
            </w:r>
          </w:p>
        </w:tc>
        <w:tc>
          <w:tcPr>
            <w:tcW w:w="724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épreuve</w:t>
            </w:r>
          </w:p>
        </w:tc>
      </w:tr>
      <w:tr>
        <w:trPr>
          <w:cantSplit/>
        </w:trPr>
        <w:tc>
          <w:tcPr>
            <w:tcW w:w="7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É3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22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A</w:t>
            </w:r>
          </w:p>
        </w:tc>
        <w:tc>
          <w:tcPr>
            <w:tcW w:w="2009" w:type="dxa"/>
          </w:tcPr>
          <w:tcPr/>
          <w:p>
            <w:pPr>
              <w:pStyle w:val="Compact"/>
            </w:pPr>
            <w:r>
              <w:t xml:space="preserve">DS, 2 h</w:t>
            </w:r>
          </w:p>
        </w:tc>
        <w:tc>
          <w:tcPr>
            <w:tcW w:w="4730" w:type="dxa"/>
          </w:tcPr>
          <w:tcPr/>
          <w:p>
            <w:pPr>
              <w:pStyle w:val="Compact"/>
            </w:pPr>
            <w:r>
              <w:t xml:space="preserve">analyse de risques, zonage, choix d’un système de sûreté</w:t>
            </w:r>
          </w:p>
        </w:tc>
        <w:tc>
          <w:tcPr>
            <w:tcW w:w="724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7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É4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25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A</w:t>
            </w:r>
          </w:p>
        </w:tc>
        <w:tc>
          <w:tcPr>
            <w:tcW w:w="2009" w:type="dxa"/>
          </w:tcPr>
          <w:tcPr/>
          <w:p>
            <w:pPr>
              <w:pStyle w:val="Compact"/>
            </w:pPr>
            <w:r>
              <w:t xml:space="preserve">DS, 2 h</w:t>
            </w:r>
          </w:p>
        </w:tc>
        <w:tc>
          <w:tcPr>
            <w:tcW w:w="4730" w:type="dxa"/>
          </w:tcPr>
          <w:tcPr/>
          <w:p>
            <w:pPr>
              <w:pStyle w:val="Compact"/>
            </w:pPr>
            <w:r>
              <w:t xml:space="preserve">régulation, comptage, facture, délestage</w:t>
            </w:r>
          </w:p>
        </w:tc>
        <w:tc>
          <w:tcPr>
            <w:tcW w:w="724" w:type="dxa"/>
          </w:tcPr>
          <w:tcPr/>
          <w:p>
            <w:pPr>
              <w:pStyle w:val="Compact"/>
            </w:pPr>
            <w:r>
              <w:t xml:space="preserve">2</w:t>
            </w:r>
          </w:p>
        </w:tc>
      </w:tr>
      <w:tr>
        <w:trPr>
          <w:cantSplit/>
        </w:trPr>
        <w:tc>
          <w:tcPr>
            <w:tcW w:w="725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É5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26</w:t>
            </w:r>
          </w:p>
        </w:tc>
        <w:tc>
          <w:tcPr>
            <w:tcW w:w="725" w:type="dxa"/>
          </w:tcPr>
          <w:tcPr/>
          <w:p>
            <w:pPr>
              <w:pStyle w:val="Compact"/>
            </w:pPr>
            <w:r>
              <w:t xml:space="preserve">B</w:t>
            </w:r>
          </w:p>
        </w:tc>
        <w:tc>
          <w:tcPr>
            <w:tcW w:w="2009" w:type="dxa"/>
          </w:tcPr>
          <w:tcPr/>
          <w:p>
            <w:pPr>
              <w:pStyle w:val="Compact"/>
            </w:pPr>
            <w:r>
              <w:t xml:space="preserve">Dossier + présentation de 5 min</w:t>
            </w:r>
          </w:p>
        </w:tc>
        <w:tc>
          <w:tcPr>
            <w:tcW w:w="4730" w:type="dxa"/>
          </w:tcPr>
          <w:tcPr/>
          <w:p>
            <w:pPr>
              <w:pStyle w:val="Compact"/>
            </w:pPr>
            <w:r>
              <w:t xml:space="preserve">notice, carnet de câbles, plan de récolement</w:t>
            </w:r>
          </w:p>
        </w:tc>
        <w:tc>
          <w:tcPr>
            <w:tcW w:w="724" w:type="dxa"/>
          </w:tcPr>
          <w:tcPr/>
          <w:p>
            <w:pPr>
              <w:pStyle w:val="Compact"/>
            </w:pPr>
            <w:r>
              <w:t xml:space="preserve">1</w:t>
            </w:r>
          </w:p>
        </w:tc>
      </w:tr>
    </w:tbl>
    <w:p>
      <w:pPr>
        <w:pStyle w:val="BodyText"/>
      </w:pPr>
      <w:r>
        <w:rPr>
          <w:b/>
          <w:bCs/>
        </w:rPr>
        <w:t xml:space="preserve">Trois notes sur le fil A, deux sur le fil B, auxquelles s’ajoute le CCF.</w:t>
      </w:r>
      <w:r>
        <w:t xml:space="preserve"> </w:t>
      </w:r>
      <w:r>
        <w:t xml:space="preserve">Cet</w:t>
      </w:r>
      <w:r>
        <w:t xml:space="preserve"> </w:t>
      </w:r>
      <w:r>
        <w:t xml:space="preserve">équilibre suit la répartition horaire, et chaque semestre en compte trois : le minimum</w:t>
      </w:r>
      <w:r>
        <w:t xml:space="preserve"> </w:t>
      </w:r>
      <w:r>
        <w:t xml:space="preserve">est respecté des deux côtés.</w:t>
      </w:r>
    </w:p>
    <w:p>
      <w:pPr>
        <w:pStyle w:val="BodyText"/>
      </w:pPr>
      <w:r>
        <w:rPr>
          <w:b/>
          <w:bCs/>
        </w:rPr>
        <w:t xml:space="preserve">É0 n’est pas noté et sera proposé à nouveau, à l’identique, en semaine 26.</w:t>
      </w:r>
      <w:r>
        <w:t xml:space="preserve"> </w:t>
      </w:r>
      <w:r>
        <w:t xml:space="preserve">Un progrès</w:t>
      </w:r>
      <w:r>
        <w:t xml:space="preserve"> </w:t>
      </w:r>
      <w:r>
        <w:t xml:space="preserve">mesuré vaut mieux qu’un discours sur le progrès ; ce dispositif, déjà retenu en fluides, a</w:t>
      </w:r>
      <w:r>
        <w:t xml:space="preserve"> </w:t>
      </w:r>
      <w:r>
        <w:t xml:space="preserve">fait ses preuves.</w:t>
      </w:r>
    </w:p>
    <w:p>
      <w:pPr>
        <w:pStyle w:val="BodyText"/>
      </w:pPr>
      <w:r>
        <w:rPr>
          <w:b/>
          <w:bCs/>
        </w:rPr>
        <w:t xml:space="preserve">Une seule des cinq notes porte sur du calcul pur.</w:t>
      </w:r>
      <w:r>
        <w:t xml:space="preserve"> </w:t>
      </w:r>
      <w:r>
        <w:t xml:space="preserve">Ce choix est délibéré : E5 s’évalue sur une</w:t>
      </w:r>
      <w:r>
        <w:t xml:space="preserve"> </w:t>
      </w:r>
      <w:r>
        <w:t xml:space="preserve">conduite d’essai et un rapport argumenté, E6 sur un oral.</w:t>
      </w:r>
    </w:p>
    <w:bookmarkEnd w:id="38"/>
    <w:bookmarkStart w:id="39" w:name="la-coordination-avec-les-fluides"/>
    <w:p>
      <w:pPr>
        <w:pStyle w:val="Heading1"/>
      </w:pPr>
      <w:r>
        <w:t xml:space="preserve">La coordination avec les fluides</w:t>
      </w:r>
    </w:p>
    <w:p>
      <w:pPr>
        <w:keepNext/>
        <w:pStyle w:val="FirstParagraph"/>
      </w:pPr>
      <w:r>
        <w:rPr>
          <w:b/>
          <w:bCs/>
        </w:rPr>
        <w:t xml:space="preserve">La séance 20 de fluides de 2e année suppose cette progression réalisée.</w:t>
      </w:r>
      <w:r>
        <w:t xml:space="preserve"> </w:t>
      </w:r>
      <w:r>
        <w:t xml:space="preserve">Sa fiche</w:t>
      </w:r>
      <w:r>
        <w:t xml:space="preserve"> </w:t>
      </w:r>
      <w:r>
        <w:t xml:space="preserve">professeur le précise :</w:t>
      </w:r>
      <w:r>
        <w:t xml:space="preserve"> </w:t>
      </w:r>
      <w:r>
        <w:rPr>
          <w:i/>
          <w:iCs/>
        </w:rPr>
        <w:t xml:space="preserve">« ne pas refaire le cours d’automatisme, mais partir des</w:t>
      </w:r>
      <w:r>
        <w:rPr>
          <w:i/>
          <w:iCs/>
        </w:rPr>
        <w:t xml:space="preserve"> </w:t>
      </w:r>
      <w:r>
        <w:rPr>
          <w:i/>
          <w:iCs/>
        </w:rPr>
        <w:t xml:space="preserve">installations et remplir les modules avec leurs points »</w:t>
      </w:r>
      <w:r>
        <w:t xml:space="preserve">.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3958"/>
        <w:gridCol w:w="5680"/>
      </w:tblGrid>
      <w:tr>
        <w:trPr>
          <w:cantSplit/>
          <w:tblHeader w:val="on"/>
        </w:trPr>
        <w:tc>
          <w:tcPr>
            <w:tcW w:w="3958" w:type="dxa"/>
          </w:tcPr>
          <w:tcPr/>
          <w:p>
            <w:pPr>
              <w:keepNext/>
              <w:pStyle w:val="Compact"/>
            </w:pPr>
            <w:r>
              <w:t xml:space="preserve">Ce que la domotique de 1re année installe</w:t>
            </w:r>
          </w:p>
        </w:tc>
        <w:tc>
          <w:tcPr>
            <w:tcW w:w="5680" w:type="dxa"/>
          </w:tcPr>
          <w:tcPr/>
          <w:p>
            <w:pPr>
              <w:keepNext/>
              <w:pStyle w:val="Compact"/>
            </w:pPr>
            <w:r>
              <w:t xml:space="preserve">Ce que les fluides en font</w:t>
            </w:r>
          </w:p>
        </w:tc>
      </w:tr>
      <w:tr>
        <w:trPr>
          <w:cantSplit/>
        </w:trPr>
        <w:tc>
          <w:tcPr>
            <w:tcW w:w="3958" w:type="dxa"/>
          </w:tcPr>
          <w:tcPr/>
          <w:p>
            <w:pPr>
              <w:keepNext/>
              <w:pStyle w:val="Compact"/>
            </w:pPr>
            <w:r>
              <w:t xml:space="preserve">Capteur, centrale, pré-actionneur, actionneur</w:t>
            </w:r>
          </w:p>
        </w:tc>
        <w:tc>
          <w:tcPr>
            <w:tcW w:w="5680" w:type="dxa"/>
          </w:tcPr>
          <w:tcPr/>
          <w:p>
            <w:pPr>
              <w:keepNext/>
              <w:pStyle w:val="Compact"/>
            </w:pPr>
            <w:r>
              <w:t xml:space="preserve">les organes d’une CTA et d’une chaufferie rangés dans ces familles</w:t>
            </w:r>
          </w:p>
        </w:tc>
      </w:tr>
      <w:tr>
        <w:trPr>
          <w:cantSplit/>
        </w:trPr>
        <w:tc>
          <w:tcPr>
            <w:tcW w:w="3958" w:type="dxa"/>
          </w:tcPr>
          <w:tcPr/>
          <w:p>
            <w:pPr>
              <w:keepNext/>
              <w:pStyle w:val="Compact"/>
            </w:pPr>
            <w:r>
              <w:t xml:space="preserve">Bus, topologie, protocoles, adressage</w:t>
            </w:r>
          </w:p>
        </w:tc>
        <w:tc>
          <w:tcPr>
            <w:tcW w:w="5680" w:type="dxa"/>
          </w:tcPr>
          <w:tcPr/>
          <w:p>
            <w:pPr>
              <w:keepNext/>
              <w:pStyle w:val="Compact"/>
            </w:pPr>
            <w:r>
              <w:t xml:space="preserve">Modbus RTU, KNX, M-Bus cités sans être réexpliqués</w:t>
            </w:r>
          </w:p>
        </w:tc>
      </w:tr>
      <w:tr>
        <w:trPr>
          <w:cantSplit/>
        </w:trPr>
        <w:tc>
          <w:tcPr>
            <w:tcW w:w="3958" w:type="dxa"/>
          </w:tcPr>
          <w:tcPr/>
          <w:p>
            <w:pPr>
              <w:keepNext/>
              <w:pStyle w:val="Compact"/>
            </w:pPr>
            <w:r>
              <w:t xml:space="preserve">Boucle ouverte et fermée, TOR et proportionnel</w:t>
            </w:r>
          </w:p>
        </w:tc>
        <w:tc>
          <w:tcPr>
            <w:tcW w:w="5680" w:type="dxa"/>
          </w:tcPr>
          <w:tcPr/>
          <w:p>
            <w:pPr>
              <w:keepNext/>
              <w:pStyle w:val="Compact"/>
            </w:pPr>
            <w:r>
              <w:t xml:space="preserve">la loi d’eau et les boucles d’une sous-station</w:t>
            </w:r>
          </w:p>
        </w:tc>
      </w:tr>
      <w:tr>
        <w:trPr>
          <w:cantSplit/>
        </w:trPr>
        <w:tc>
          <w:tcPr>
            <w:tcW w:w="3958" w:type="dxa"/>
          </w:tcPr>
          <w:tcPr/>
          <w:p>
            <w:pPr>
              <w:keepNext/>
              <w:pStyle w:val="Compact"/>
            </w:pPr>
            <w:r>
              <w:t xml:space="preserve">Comptage, index, sous-comptage</w:t>
            </w:r>
          </w:p>
        </w:tc>
        <w:tc>
          <w:tcPr>
            <w:tcW w:w="5680" w:type="dxa"/>
          </w:tcPr>
          <w:tcPr/>
          <w:p>
            <w:pPr>
              <w:keepNext/>
              <w:pStyle w:val="Compact"/>
            </w:pPr>
            <w:r>
              <w:t xml:space="preserve">le comptage d’énergie thermique et le suivi des dérives</w:t>
            </w:r>
          </w:p>
        </w:tc>
      </w:tr>
      <w:tr>
        <w:trPr>
          <w:cantSplit/>
        </w:trPr>
        <w:tc>
          <w:tcPr>
            <w:tcW w:w="3958" w:type="dxa"/>
          </w:tcPr>
          <w:tcPr/>
          <w:p>
            <w:pPr>
              <w:pStyle w:val="Compact"/>
            </w:pPr>
            <w:r>
              <w:t xml:space="preserve">Supervision, alarmes techniques, priorités</w:t>
            </w:r>
          </w:p>
        </w:tc>
        <w:tc>
          <w:tcPr>
            <w:tcW w:w="5680" w:type="dxa"/>
          </w:tcPr>
          <w:tcPr/>
          <w:p>
            <w:pPr>
              <w:pStyle w:val="Compact"/>
            </w:pPr>
            <w:r>
              <w:t xml:space="preserve">le synoptique et le tableau de points d’une GTB</w:t>
            </w:r>
          </w:p>
        </w:tc>
      </w:tr>
    </w:tbl>
    <w:p>
      <w:pPr>
        <w:pStyle w:val="BodyText"/>
      </w:pPr>
      <w:r>
        <w:rPr>
          <w:b/>
          <w:bCs/>
        </w:rPr>
        <w:t xml:space="preserve">Trois points restent à régler, dont un seul constitue un véritable conflit :</w:t>
      </w:r>
      <w:r>
        <w:t xml:space="preserve"> </w:t>
      </w:r>
      <w:r>
        <w:t xml:space="preserve">le</w:t>
      </w:r>
      <w:r>
        <w:t xml:space="preserve"> </w:t>
      </w:r>
      <w:r>
        <w:rPr>
          <w:b/>
          <w:bCs/>
        </w:rPr>
        <w:t xml:space="preserve">photovoltaïque est</w:t>
      </w:r>
      <w:r>
        <w:rPr>
          <w:b/>
          <w:bCs/>
        </w:rPr>
        <w:t xml:space="preserve"> </w:t>
      </w:r>
      <w:r>
        <w:rPr>
          <w:b/>
          <w:bCs/>
        </w:rPr>
        <w:t xml:space="preserve">traité deux fois</w:t>
      </w:r>
      <w:r>
        <w:t xml:space="preserve">, semaine 24 ici, séance 22 en fluides ; DI, AI, DO, AO restent</w:t>
      </w:r>
      <w:r>
        <w:t xml:space="preserve"> </w:t>
      </w:r>
      <w:r>
        <w:t xml:space="preserve">introduits</w:t>
      </w:r>
      <w:r>
        <w:t xml:space="preserve"> </w:t>
      </w:r>
      <w:r>
        <w:rPr>
          <w:b/>
          <w:bCs/>
        </w:rPr>
        <w:t xml:space="preserve">en fluides</w:t>
      </w:r>
      <w:r>
        <w:t xml:space="preserve"> </w:t>
      </w:r>
      <w:r>
        <w:t xml:space="preserve">; la mise à l’échelle 0-10 V et 4-20 mA ne doit pas être</w:t>
      </w:r>
      <w:r>
        <w:t xml:space="preserve"> </w:t>
      </w:r>
      <w:r>
        <w:t xml:space="preserve">enseignée deux fois.</w:t>
      </w:r>
    </w:p>
    <w:bookmarkEnd w:id="39"/>
    <w:bookmarkStart w:id="40" w:name="ce-quil-reste-à-produire"/>
    <w:p>
      <w:pPr>
        <w:pStyle w:val="Heading1"/>
      </w:pPr>
      <w:r>
        <w:t xml:space="preserve">Ce qu’il reste à produire</w:t>
      </w:r>
    </w:p>
    <w:p>
      <w:pPr>
        <w:keepNext/>
        <w:pStyle w:val="FirstParagraph"/>
      </w:pPr>
      <w:r>
        <w:rPr>
          <w:b/>
          <w:bCs/>
        </w:rPr>
        <w:t xml:space="preserve">Au 13 septembre 2026, quinze séances sur cinquante-deux sont rédigées</w:t>
      </w:r>
      <w:r>
        <w:t xml:space="preserve">, ainsi que</w:t>
      </w:r>
      <w:r>
        <w:t xml:space="preserve"> </w:t>
      </w:r>
      <w:r>
        <w:t xml:space="preserve">l’évaluation É1 :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625"/>
        <w:gridCol w:w="2774"/>
        <w:gridCol w:w="5239"/>
      </w:tblGrid>
      <w:tr>
        <w:trPr>
          <w:cantSplit/>
          <w:tblHeader w:val="on"/>
        </w:trPr>
        <w:tc>
          <w:tcPr>
            <w:tcW w:w="1625" w:type="dxa"/>
          </w:tcPr>
          <w:tcPr/>
          <w:p>
            <w:pPr>
              <w:keepNext/>
              <w:pStyle w:val="Compact"/>
            </w:pPr>
            <w:r>
              <w:t xml:space="preserve">Fil</w:t>
            </w:r>
          </w:p>
        </w:tc>
        <w:tc>
          <w:tcPr>
            <w:tcW w:w="2774" w:type="dxa"/>
          </w:tcPr>
          <w:tcPr/>
          <w:p>
            <w:pPr>
              <w:keepNext/>
              <w:pStyle w:val="Compact"/>
            </w:pPr>
            <w:r>
              <w:t xml:space="preserve">Séances rédigées</w:t>
            </w:r>
          </w:p>
        </w:tc>
        <w:tc>
          <w:tcPr>
            <w:tcW w:w="5239" w:type="dxa"/>
          </w:tcPr>
          <w:tcPr/>
          <w:p>
            <w:pPr>
              <w:keepNext/>
              <w:pStyle w:val="Compact"/>
            </w:pPr>
            <w:r>
              <w:t xml:space="preserve">Documents</w:t>
            </w:r>
          </w:p>
        </w:tc>
      </w:tr>
      <w:tr>
        <w:trPr>
          <w:cantSplit/>
        </w:trPr>
        <w:tc>
          <w:tcPr>
            <w:tcW w:w="1625" w:type="dxa"/>
          </w:tcPr>
          <w:tcPr/>
          <w:p>
            <w:pPr>
              <w:keepNext/>
              <w:pStyle w:val="Compact"/>
            </w:pPr>
            <w:r>
              <w:t xml:space="preserve">A : études</w:t>
            </w:r>
          </w:p>
        </w:tc>
        <w:tc>
          <w:tcPr>
            <w:tcW w:w="2774" w:type="dxa"/>
          </w:tcPr>
          <w:tcPr/>
          <w:p>
            <w:pPr>
              <w:keepNext/>
              <w:pStyle w:val="Compact"/>
            </w:pPr>
            <w:r>
              <w:t xml:space="preserve">semaines</w:t>
            </w:r>
            <w:r>
              <w:t xml:space="preserve"> </w:t>
            </w:r>
            <w:r>
              <w:rPr>
                <w:b/>
                <w:bCs/>
              </w:rPr>
              <w:t xml:space="preserve">1 à 11</w:t>
            </w:r>
            <w:r>
              <w:t xml:space="preserve"> </w:t>
            </w:r>
            <w:r>
              <w:t xml:space="preserve">(DOMA1 à DOMA11)</w:t>
            </w:r>
          </w:p>
        </w:tc>
        <w:tc>
          <w:tcPr>
            <w:tcW w:w="5239" w:type="dxa"/>
          </w:tcPr>
          <w:tcPr/>
          <w:p>
            <w:pPr>
              <w:keepNext/>
              <w:pStyle w:val="Compact"/>
            </w:pPr>
            <w:r>
              <w:t xml:space="preserve">document élève, fiche professeur, page web, figures</w:t>
            </w:r>
          </w:p>
        </w:tc>
      </w:tr>
      <w:tr>
        <w:trPr>
          <w:cantSplit/>
        </w:trPr>
        <w:tc>
          <w:tcPr>
            <w:tcW w:w="1625" w:type="dxa"/>
          </w:tcPr>
          <w:tcPr/>
          <w:p>
            <w:pPr>
              <w:keepNext/>
              <w:pStyle w:val="Compact"/>
            </w:pPr>
            <w:r>
              <w:t xml:space="preserve">B : atelier</w:t>
            </w:r>
          </w:p>
        </w:tc>
        <w:tc>
          <w:tcPr>
            <w:tcW w:w="2774" w:type="dxa"/>
          </w:tcPr>
          <w:tcPr/>
          <w:p>
            <w:pPr>
              <w:keepNext/>
              <w:pStyle w:val="Compact"/>
            </w:pPr>
            <w:r>
              <w:t xml:space="preserve">semaines</w:t>
            </w:r>
            <w:r>
              <w:t xml:space="preserve"> </w:t>
            </w:r>
            <w:r>
              <w:rPr>
                <w:b/>
                <w:bCs/>
              </w:rPr>
              <w:t xml:space="preserve">1 à 4</w:t>
            </w:r>
            <w:r>
              <w:t xml:space="preserve"> </w:t>
            </w:r>
            <w:r>
              <w:t xml:space="preserve">(DOMB1 à DOMB4)</w:t>
            </w:r>
          </w:p>
        </w:tc>
        <w:tc>
          <w:tcPr>
            <w:tcW w:w="5239" w:type="dxa"/>
          </w:tcPr>
          <w:tcPr/>
          <w:p>
            <w:pPr>
              <w:keepNext/>
              <w:pStyle w:val="Compact"/>
            </w:pPr>
            <w:r>
              <w:t xml:space="preserve">document élève, fiche professeur ; pages web à venir</w:t>
            </w:r>
          </w:p>
        </w:tc>
      </w:tr>
      <w:tr>
        <w:trPr>
          <w:cantSplit/>
        </w:trPr>
        <w:tc>
          <w:tcPr>
            <w:tcW w:w="1625" w:type="dxa"/>
          </w:tcPr>
          <w:tcPr/>
          <w:p>
            <w:pPr>
              <w:pStyle w:val="Compact"/>
            </w:pPr>
            <w:r>
              <w:t xml:space="preserve">Évaluation</w:t>
            </w:r>
          </w:p>
        </w:tc>
        <w:tc>
          <w:tcPr>
            <w:tcW w:w="2774" w:type="dxa"/>
          </w:tcPr>
          <w:tcPr/>
          <w:p>
            <w:pPr>
              <w:pStyle w:val="Compact"/>
            </w:pPr>
            <w:r>
              <w:rPr>
                <w:b/>
                <w:bCs/>
              </w:rPr>
              <w:t xml:space="preserve">É1</w:t>
            </w:r>
            <w:r>
              <w:t xml:space="preserve">, semaine 10</w:t>
            </w:r>
          </w:p>
        </w:tc>
        <w:tc>
          <w:tcPr>
            <w:tcW w:w="5239" w:type="dxa"/>
          </w:tcPr>
          <w:tcPr/>
          <w:p>
            <w:pPr>
              <w:pStyle w:val="Compact"/>
            </w:pPr>
            <w:r>
              <w:t xml:space="preserve">sujet et corrigé dans</w:t>
            </w:r>
            <w:r>
              <w:t xml:space="preserve"> </w:t>
            </w:r>
            <w:r>
              <w:rPr>
                <w:rStyle w:val="VerbatimChar"/>
              </w:rPr>
              <w:t xml:space="preserve">07-evaluations/DOM-E1-DS-socle-communication</w:t>
            </w:r>
          </w:p>
        </w:tc>
      </w:tr>
    </w:tbl>
    <w:p>
      <w:pPr>
        <w:pStyle w:val="BodyText"/>
      </w:pPr>
      <w:r>
        <w:rPr>
          <w:b/>
          <w:bCs/>
        </w:rPr>
        <w:t xml:space="preserve">La semaine 10 place le devoir en tête</w:t>
      </w:r>
      <w:r>
        <w:t xml:space="preserve"> </w:t>
      </w:r>
      <w:r>
        <w:t xml:space="preserve">: É1 occupe les deux premières heures et</w:t>
      </w:r>
      <w:r>
        <w:t xml:space="preserve"> </w:t>
      </w:r>
      <w:r>
        <w:t xml:space="preserve">porte sur les semaines 1 à 9 ; la troisième heure ouvre les protocoles métier, que le</w:t>
      </w:r>
      <w:r>
        <w:t xml:space="preserve"> </w:t>
      </w:r>
      <w:r>
        <w:t xml:space="preserve">TP noté É2 de la semaine 14 mobilise ensuite en situation.</w:t>
      </w:r>
    </w:p>
    <w:p>
      <w:pPr>
        <w:pStyle w:val="BodyText"/>
      </w:pPr>
      <w:r>
        <w:rPr>
          <w:b/>
          <w:bCs/>
        </w:rPr>
        <w:t xml:space="preserve">Les séances du fil B à partir de la semaine 5 attendent l’inventaire des</w:t>
      </w:r>
      <w:r>
        <w:rPr>
          <w:b/>
          <w:bCs/>
        </w:rPr>
        <w:t xml:space="preserve"> </w:t>
      </w:r>
      <w:r>
        <w:rPr>
          <w:b/>
          <w:bCs/>
        </w:rPr>
        <w:t xml:space="preserve">installations de l’atelier</w:t>
      </w:r>
      <w:r>
        <w:t xml:space="preserve">, que l’utilisateur doit communiquer : elles ne</w:t>
      </w:r>
      <w:r>
        <w:t xml:space="preserve"> </w:t>
      </w:r>
      <w:r>
        <w:t xml:space="preserve">peuvent pas être écrites sans connaître le matériel réellement disponible.</w:t>
      </w:r>
    </w:p>
    <w:p>
      <w:pPr>
        <w:keepNext/>
        <w:pStyle w:val="BodyText"/>
      </w:pPr>
      <w:r>
        <w:t xml:space="preserve">L’ordre de production suit l’urgence, et non le calendrier :</w:t>
      </w:r>
    </w:p>
    <w:tbl>
      <w:tblPr>
        <w:tblW w:w="5000" w:type="pct"/>
        <w:tblLayout w:type="fixed"/>
        <w:tblStyle w:val="TabDonnees"/>
        <w:tblLook w:firstRow="1" w:lastRow="0" w:firstColumn="0" w:lastColumn="0" w:noHBand="0" w:noVBand="0" w:val="0020"/>
      </w:tblPr>
      <w:tblGrid>
        <w:gridCol w:w="1534"/>
        <w:gridCol w:w="1661"/>
        <w:gridCol w:w="6443"/>
      </w:tblGrid>
      <w:tr>
        <w:trPr>
          <w:cantSplit/>
          <w:tblHeader w:val="on"/>
        </w:trPr>
        <w:tc>
          <w:tcPr>
            <w:tcW w:w="1534" w:type="dxa"/>
          </w:tcPr>
          <w:tcPr/>
          <w:p>
            <w:pPr>
              <w:keepNext/>
              <w:pStyle w:val="Compact"/>
            </w:pPr>
            <w:r>
              <w:t xml:space="preserve">Rang</w:t>
            </w:r>
          </w:p>
        </w:tc>
        <w:tc>
          <w:tcPr>
            <w:tcW w:w="1661" w:type="dxa"/>
          </w:tcPr>
          <w:tcPr/>
          <w:p>
            <w:pPr>
              <w:keepNext/>
              <w:pStyle w:val="Compact"/>
            </w:pPr>
            <w:r>
              <w:t xml:space="preserve">Séances</w:t>
            </w:r>
          </w:p>
        </w:tc>
        <w:tc>
          <w:tcPr>
            <w:tcW w:w="6443" w:type="dxa"/>
          </w:tcPr>
          <w:tcPr/>
          <w:p>
            <w:pPr>
              <w:keepNext/>
              <w:pStyle w:val="Compact"/>
            </w:pPr>
            <w:r>
              <w:t xml:space="preserve">Pourquoi d’abord</w:t>
            </w:r>
          </w:p>
        </w:tc>
      </w:tr>
      <w:tr>
        <w:trPr>
          <w:cantSplit/>
        </w:trPr>
        <w:tc>
          <w:tcPr>
            <w:tcW w:w="1534" w:type="dxa"/>
          </w:tcPr>
          <w:tcPr/>
          <w:p>
            <w:pPr>
              <w:keepNext/>
              <w:pStyle w:val="Compact"/>
            </w:pPr>
            <w:r>
              <w:t xml:space="preserve">1</w:t>
            </w:r>
          </w:p>
        </w:tc>
        <w:tc>
          <w:tcPr>
            <w:tcW w:w="166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fil A 14-15 · fil B 15-18</w:t>
            </w:r>
          </w:p>
        </w:tc>
        <w:tc>
          <w:tcPr>
            <w:tcW w:w="6443" w:type="dxa"/>
          </w:tcPr>
          <w:tcPr/>
          <w:p>
            <w:pPr>
              <w:keepNext/>
              <w:pStyle w:val="Compact"/>
            </w:pPr>
            <w:r>
              <w:t xml:space="preserve">la séquence du CCF : c’est l’échéance datée de l’année</w:t>
            </w:r>
          </w:p>
        </w:tc>
      </w:tr>
      <w:tr>
        <w:trPr>
          <w:cantSplit/>
        </w:trPr>
        <w:tc>
          <w:tcPr>
            <w:tcW w:w="1534" w:type="dxa"/>
          </w:tcPr>
          <w:tcPr/>
          <w:p>
            <w:pPr>
              <w:keepNext/>
              <w:pStyle w:val="Compact"/>
            </w:pPr>
            <w:r>
              <w:t xml:space="preserve">2</w:t>
            </w:r>
          </w:p>
        </w:tc>
        <w:tc>
          <w:tcPr>
            <w:tcW w:w="166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fil B 8</w:t>
            </w:r>
          </w:p>
        </w:tc>
        <w:tc>
          <w:tcPr>
            <w:tcW w:w="6443" w:type="dxa"/>
          </w:tcPr>
          <w:tcPr/>
          <w:p>
            <w:pPr>
              <w:keepNext/>
              <w:pStyle w:val="Compact"/>
            </w:pPr>
            <w:r>
              <w:t xml:space="preserve">le repli le plus sûr du CCF, et il faut trancher avant l’achat du testeur ; le fil A 8 est rédigé</w:t>
            </w:r>
          </w:p>
        </w:tc>
      </w:tr>
      <w:tr>
        <w:trPr>
          <w:cantSplit/>
        </w:trPr>
        <w:tc>
          <w:tcPr>
            <w:tcW w:w="1534" w:type="dxa"/>
          </w:tcPr>
          <w:tcPr/>
          <w:p>
            <w:pPr>
              <w:keepNext/>
              <w:pStyle w:val="Compact"/>
            </w:pPr>
            <w:r>
              <w:t xml:space="preserve">3</w:t>
            </w:r>
          </w:p>
        </w:tc>
        <w:tc>
          <w:tcPr>
            <w:tcW w:w="1661" w:type="dxa"/>
          </w:tcPr>
          <w:tcPr/>
          <w:p>
            <w:pPr>
              <w:keepNext/>
              <w:pStyle w:val="Compact"/>
            </w:pPr>
            <w:r>
              <w:rPr>
                <w:b/>
                <w:bCs/>
              </w:rPr>
              <w:t xml:space="preserve">fil A 16</w:t>
            </w:r>
          </w:p>
        </w:tc>
        <w:tc>
          <w:tcPr>
            <w:tcW w:w="6443" w:type="dxa"/>
          </w:tcPr>
          <w:tcPr/>
          <w:p>
            <w:pPr>
              <w:keepNext/>
              <w:pStyle w:val="Compact"/>
            </w:pPr>
            <w:r>
              <w:t xml:space="preserve">quatre semaines s’appuient dessus ; la produire après serait produire à l’envers</w:t>
            </w:r>
          </w:p>
        </w:tc>
      </w:tr>
      <w:tr>
        <w:trPr>
          <w:cantSplit/>
        </w:trPr>
        <w:tc>
          <w:tcPr>
            <w:tcW w:w="1534" w:type="dxa"/>
          </w:tcPr>
          <w:tcPr/>
          <w:p>
            <w:pPr>
              <w:keepNext/>
              <w:pStyle w:val="Compact"/>
            </w:pPr>
            <w:r>
              <w:t xml:space="preserve">4</w:t>
            </w:r>
          </w:p>
        </w:tc>
        <w:tc>
          <w:tcPr>
            <w:tcW w:w="1661" w:type="dxa"/>
          </w:tcPr>
          <w:tcPr/>
          <w:p>
            <w:pPr>
              <w:keepNext/>
              <w:pStyle w:val="Compact"/>
            </w:pPr>
            <w:r>
              <w:t xml:space="preserve">fil B 5-14</w:t>
            </w:r>
          </w:p>
        </w:tc>
        <w:tc>
          <w:tcPr>
            <w:tcW w:w="6443" w:type="dxa"/>
          </w:tcPr>
          <w:tcPr/>
          <w:p>
            <w:pPr>
              <w:keepNext/>
              <w:pStyle w:val="Compact"/>
            </w:pPr>
            <w:r>
              <w:t xml:space="preserve">dès l’inventaire de l’atelier connu ; le bloc logiciel demande le plus de préparation matérielle</w:t>
            </w:r>
          </w:p>
        </w:tc>
      </w:tr>
      <w:tr>
        <w:trPr>
          <w:cantSplit/>
        </w:trPr>
        <w:tc>
          <w:tcPr>
            <w:tcW w:w="1534" w:type="dxa"/>
          </w:tcPr>
          <w:tcPr/>
          <w:p>
            <w:pPr>
              <w:pStyle w:val="Compact"/>
            </w:pPr>
            <w:r>
              <w:t xml:space="preserve">5</w:t>
            </w:r>
          </w:p>
        </w:tc>
        <w:tc>
          <w:tcPr>
            <w:tcW w:w="1661" w:type="dxa"/>
          </w:tcPr>
          <w:tcPr/>
          <w:p>
            <w:pPr>
              <w:pStyle w:val="Compact"/>
            </w:pPr>
            <w:r>
              <w:t xml:space="preserve">le reste</w:t>
            </w:r>
          </w:p>
        </w:tc>
        <w:tc>
          <w:tcPr>
            <w:tcW w:w="6443" w:type="dxa"/>
          </w:tcPr>
          <w:tcPr/>
          <w:p>
            <w:pPr>
              <w:pStyle w:val="Compact"/>
            </w:pPr>
            <w:r>
              <w:t xml:space="preserve">dans l’ordre de la progression, fil A d’abord</w:t>
            </w:r>
          </w:p>
        </w:tc>
      </w:tr>
    </w:tbl>
    <w:p>
      <w:pPr>
        <w:pStyle w:val="BodyText"/>
      </w:pPr>
      <w:r>
        <w:rPr>
          <w:b/>
          <w:bCs/>
        </w:rPr>
        <w:t xml:space="preserve">Le fil A est produit avant le fil B, semaine par semaine.</w:t>
      </w:r>
      <w:r>
        <w:t xml:space="preserve"> </w:t>
      </w:r>
      <w:r>
        <w:t xml:space="preserve">La règle est la même que</w:t>
      </w:r>
      <w:r>
        <w:t xml:space="preserve"> </w:t>
      </w:r>
      <w:r>
        <w:t xml:space="preserve">celle du couplage pédagogique : l’étude précède l’atelier, y compris dans l’ordre de</w:t>
      </w:r>
      <w:r>
        <w:t xml:space="preserve"> </w:t>
      </w:r>
      <w:r>
        <w:t xml:space="preserve">rédaction.</w:t>
      </w:r>
    </w:p>
    <w:p>
      <w:pPr>
        <w:pStyle w:val="BodyText"/>
      </w:pPr>
      <w:r>
        <w:rPr>
          <w:b/>
          <w:bCs/>
        </w:rPr>
        <w:t xml:space="preserve">Il convient de produire une séance, de la faire valider, puis de généraliser.</w:t>
      </w:r>
      <w:r>
        <w:t xml:space="preserve"> </w:t>
      </w:r>
      <w:r>
        <w:t xml:space="preserve">Refondre</w:t>
      </w:r>
      <w:r>
        <w:t xml:space="preserve"> </w:t>
      </w:r>
      <w:r>
        <w:t xml:space="preserve">quatre séances avant tout retour ne s’est jamais révélé profitable dans ce dépôt.</w:t>
      </w:r>
    </w:p>
    <w:bookmarkEnd w:id="40"/>
    <w:sectPr>
      <w:pgSz w:h="16838" w:w="11906"/>
      <w:pgMar w:bottom="567" w:footer="708" w:gutter="0" w:header="708" w:left="720" w:right="720" w:top="720"/>
      <w:cols w:space="708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color w:val="7030A0"/>
      <w:sz w:val="40"/>
      <w:szCs w:val="40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color w:val="365F91"/>
      <w:sz w:val="32"/>
      <w:szCs w:val="32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color w:val="365F91"/>
      <w:sz w:val="28"/>
      <w:szCs w:val="28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color w:val="365F9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styleId="TabDonnees" w:type="table">
    <w:name w:val="Tab Donnees"/>
    <w:basedOn w:val="Table"/>
    <w:uiPriority w:val="59"/>
    <w:tblPr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A6A6A6" w:space="0" w:sz="6" w:val="single"/>
        <w:insideV w:color="A6A6A6" w:space="0" w:sz="6" w:val="singl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Bandeau" w:type="table">
    <w:name w:val="Tab Bandeau"/>
    <w:basedOn w:val="Table"/>
    <w:uiPriority w:val="59"/>
    <w:tblPr>
      <w:tblBorders>
        <w:top w:color="222222" w:space="0" w:sz="18" w:val="single"/>
        <w:left w:color="222222" w:space="0" w:sz="18" w:val="single"/>
        <w:bottom w:color="222222" w:space="0" w:sz="18" w:val="single"/>
        <w:right w:color="222222" w:space="0" w:sz="18" w:val="single"/>
      </w:tblBorders>
      <w:tblCellMar>
        <w:top w:type="dxa" w:w="72"/>
        <w:left w:type="dxa" w:w="108"/>
        <w:bottom w:type="dxa" w:w="72"/>
        <w:right w:type="dxa" w:w="108"/>
      </w:tblCellMar>
    </w:tblPr>
  </w:style>
  <w:style w:styleId="TabEncadre" w:type="table">
    <w:name w:val="Tab Encadre"/>
    <w:basedOn w:val="Table"/>
    <w:uiPriority w:val="59"/>
    <w:tblPr>
      <w:tblBorders>
        <w:top w:color="C8792D" w:space="0" w:sz="16" w:val="single"/>
        <w:left w:color="C8792D" w:space="0" w:sz="16" w:val="single"/>
        <w:bottom w:color="C8792D" w:space="0" w:sz="16" w:val="single"/>
        <w:right w:color="C8792D" w:space="0" w:sz="16" w:val="single"/>
      </w:tblBorders>
      <w:tblCellMar>
        <w:top w:type="dxa" w:w="72"/>
        <w:left w:type="dxa" w:w="108"/>
        <w:bottom w:type="dxa" w:w="72"/>
        <w:right w:type="dxa" w:w="108"/>
      </w:tblCellMar>
      <w:shd w:color="auto" w:fill="FDF6E9" w:val="clear"/>
    </w:tblPr>
  </w:style>
  <w:style w:styleId="TabFiche" w:type="table">
    <w:name w:val="Tab Fiche"/>
    <w:basedOn w:val="Table"/>
    <w:uiPriority w:val="59"/>
    <w:tblPr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A6A6A6" w:space="0" w:sz="6" w:val="single"/>
        <w:insideV w:color="A6A6A6" w:space="0" w:sz="6" w:val="singl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Col">
      <w:rPr>
        <w:b/>
      </w:rPr>
      <w:tcPr>
        <w:shd w:color="auto" w:fill="F2F2F2" w:val="clear"/>
      </w:tcPr>
    </w:tblStylePr>
  </w:style>
  <w:style w:styleId="TabCitation" w:type="table">
    <w:name w:val="Tab Citation"/>
    <w:basedOn w:val="Table"/>
    <w:uiPriority w:val="59"/>
    <w:tblPr>
      <w:tblBorders>
        <w:top w:color="5B7FA6" w:space="0" w:sz="12" w:val="single"/>
        <w:left w:color="5B7FA6" w:space="0" w:sz="12" w:val="single"/>
        <w:bottom w:color="5B7FA6" w:space="0" w:sz="12" w:val="single"/>
        <w:right w:color="5B7FA6" w:space="0" w:sz="12" w:val="single"/>
      </w:tblBorders>
      <w:tblCellMar>
        <w:top w:type="dxa" w:w="72"/>
        <w:left w:type="dxa" w:w="108"/>
        <w:bottom w:type="dxa" w:w="72"/>
        <w:right w:type="dxa" w:w="108"/>
      </w:tblCellMar>
      <w:shd w:color="auto" w:fill="EDF2F8" w:val="clear"/>
    </w:tblPr>
  </w:style>
  <w:style w:styleId="TabCompetences" w:type="table">
    <w:name w:val="Tab Competences"/>
    <w:basedOn w:val="Table"/>
    <w:uiPriority w:val="59"/>
    <w:rPr>
      <w:sz w:val="18"/>
      <w:szCs w:val="18"/>
    </w:rPr>
    <w:tblPr>
      <w:tblBorders>
        <w:top w:color="222222" w:space="0" w:sz="12" w:val="single"/>
        <w:left w:color="222222" w:space="0" w:sz="12" w:val="single"/>
        <w:bottom w:color="222222" w:space="0" w:sz="12" w:val="single"/>
        <w:right w:color="222222" w:space="0" w:sz="12" w:val="single"/>
        <w:insideH w:color="808080" w:space="0" w:sz="6" w:val="single"/>
        <w:insideV w:color="808080" w:space="0" w:sz="6" w:val="single"/>
      </w:tblBorders>
      <w:tblCellMar>
        <w:top w:type="dxa" w:w="72"/>
        <w:left w:type="dxa" w:w="108"/>
        <w:bottom w:type="dxa" w:w="72"/>
        <w:right w:type="dxa" w:w="108"/>
      </w:tblCellMar>
    </w:tblPr>
    <w:tblStylePr w:type="firstRow">
      <w:rPr>
        <w:b/>
      </w:rPr>
      <w:tcPr>
        <w:shd w:color="auto" w:fill="D9D9D9" w:val="clear"/>
      </w:tcPr>
    </w:tblStylePr>
  </w:style>
  <w:style w:styleId="TabCotation" w:type="table">
    <w:name w:val="Tab Cotation"/>
    <w:basedOn w:val="Table"/>
    <w:uiPriority w:val="59"/>
    <w:rPr>
      <w:sz w:val="16"/>
      <w:szCs w:val="16"/>
    </w:rPr>
    <w:tblPr>
      <w:tblBorders>
        <w:top w:color="404040" w:space="0" w:sz="6" w:val="single"/>
        <w:left w:color="404040" w:space="0" w:sz="6" w:val="single"/>
        <w:bottom w:color="404040" w:space="0" w:sz="6" w:val="single"/>
        <w:right w:color="404040" w:space="0" w:sz="6" w:val="single"/>
        <w:insideH w:color="808080" w:space="0" w:sz="6" w:val="single"/>
        <w:insideV w:color="808080" w:space="0" w:sz="6" w:val="single"/>
      </w:tblBorders>
      <w:tblCellMar>
        <w:top w:type="dxa" w:w="72"/>
        <w:left w:type="dxa" w:w="108"/>
        <w:bottom w:type="dxa" w:w="72"/>
        <w:right w:type="dxa" w:w="108"/>
      </w:tblCellMar>
    </w:tblPr>
  </w:style>
  <w:style w:styleId="TabDegres" w:type="table">
    <w:name w:val="Tab Degres"/>
    <w:basedOn w:val="Table"/>
    <w:uiPriority w:val="59"/>
    <w:rPr>
      <w:sz w:val="16"/>
      <w:szCs w:val="16"/>
    </w:rPr>
    <w:tblPr>
      <w:tblBorders>
        <w:top w:color="404040" w:space="0" w:sz="8" w:val="single"/>
        <w:left w:color="404040" w:space="0" w:sz="8" w:val="single"/>
        <w:bottom w:color="404040" w:space="0" w:sz="8" w:val="single"/>
        <w:right w:color="404040" w:space="0" w:sz="8" w:val="single"/>
        <w:insideH w:color="A6A6A6" w:space="0" w:sz="6" w:val="single"/>
        <w:insideV w:color="A6A6A6" w:space="0" w:sz="6" w:val="single"/>
      </w:tblBorders>
      <w:tblCellMar>
        <w:top w:type="dxa" w:w="72"/>
        <w:left w:type="dxa" w:w="108"/>
        <w:bottom w:type="dxa" w:w="72"/>
        <w:right w:type="dxa" w:w="108"/>
      </w:tblCellMar>
    </w:tblPr>
  </w:style>
  <w:style w:styleId="Programme" w:type="paragraph">
    <w:name w:val="Programme"/>
    <w:basedOn w:val="BodyText"/>
    <w:qFormat/>
    <w:pPr>
      <w:spacing w:after="120" w:before="0"/>
      <w:pBdr>
        <w:top w:color="BFBFBF" w:space="4" w:sz="4" w:val="single"/>
        <w:bottom w:color="BFBFBF" w:space="4" w:sz="4" w:val="single"/>
      </w:pBdr>
    </w:pPr>
    <w:rPr>
      <w:color w:val="595959"/>
      <w:sz w:val="16"/>
      <w:szCs w:val="16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Lexie Readable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Lexie Readable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2026-09-13T12:28:05Z</dcterms:created>
  <dcterms:modified xsi:type="dcterms:W3CDTF">2026-09-13T12:28:05Z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