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7E6" w:rsidRDefault="00325003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Titre du cours : </w:t>
      </w:r>
      <w:r>
        <w:rPr>
          <w:rFonts w:ascii="Verdana" w:eastAsia="Verdana" w:hAnsi="Verdana" w:cs="Verdana"/>
          <w:sz w:val="20"/>
          <w:szCs w:val="20"/>
        </w:rPr>
        <w:t>Marketing (MRK-1000)</w:t>
      </w:r>
    </w:p>
    <w:p w:rsidR="007207E6" w:rsidRDefault="00325003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NRC : </w:t>
      </w:r>
      <w:r>
        <w:rPr>
          <w:rFonts w:ascii="Verdana" w:eastAsia="Verdana" w:hAnsi="Verdana" w:cs="Verdana"/>
          <w:sz w:val="20"/>
          <w:szCs w:val="20"/>
        </w:rPr>
        <w:t>87109</w:t>
      </w:r>
    </w:p>
    <w:p w:rsidR="007207E6" w:rsidRDefault="00325003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Session : </w:t>
      </w:r>
      <w:r>
        <w:rPr>
          <w:rFonts w:ascii="Verdana" w:eastAsia="Verdana" w:hAnsi="Verdana" w:cs="Verdana"/>
          <w:sz w:val="20"/>
          <w:szCs w:val="20"/>
        </w:rPr>
        <w:t>Automne</w:t>
      </w:r>
    </w:p>
    <w:p w:rsidR="007207E6" w:rsidRDefault="00325003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Informations sur les coéquipiers :</w:t>
      </w:r>
    </w:p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2"/>
        <w:gridCol w:w="6568"/>
      </w:tblGrid>
      <w:tr w:rsidR="007207E6">
        <w:trPr>
          <w:trHeight w:val="440"/>
        </w:trPr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Nom, prénom</w:t>
            </w:r>
          </w:p>
        </w:tc>
        <w:tc>
          <w:tcPr>
            <w:tcW w:w="6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Disponibilités</w:t>
            </w:r>
          </w:p>
        </w:tc>
      </w:tr>
      <w:tr w:rsidR="007207E6">
        <w:trPr>
          <w:trHeight w:val="560"/>
        </w:trPr>
        <w:tc>
          <w:tcPr>
            <w:tcW w:w="2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Leroy Maxime</w:t>
            </w:r>
          </w:p>
        </w:tc>
        <w:tc>
          <w:tcPr>
            <w:tcW w:w="6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Mardi et Jeudi de 9h00 à 14h00</w:t>
            </w:r>
          </w:p>
          <w:p w:rsidR="007207E6" w:rsidRDefault="00325003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Vendredi, Samedi et Dimanche de 9h00 à 18h00</w:t>
            </w:r>
          </w:p>
        </w:tc>
      </w:tr>
      <w:tr w:rsidR="007207E6">
        <w:trPr>
          <w:trHeight w:val="560"/>
        </w:trPr>
        <w:tc>
          <w:tcPr>
            <w:tcW w:w="2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Litalien Jess</w:t>
            </w:r>
          </w:p>
        </w:tc>
        <w:tc>
          <w:tcPr>
            <w:tcW w:w="6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Lundi, Mardi, vendredi et dimanche de 09h00 à 18h00</w:t>
            </w:r>
          </w:p>
        </w:tc>
      </w:tr>
      <w:tr w:rsidR="007207E6">
        <w:trPr>
          <w:trHeight w:val="560"/>
        </w:trPr>
        <w:tc>
          <w:tcPr>
            <w:tcW w:w="2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Gosselin Pascal</w:t>
            </w:r>
          </w:p>
        </w:tc>
        <w:tc>
          <w:tcPr>
            <w:tcW w:w="6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Variable, sauf jeudi pm/soir et mercredi matin</w:t>
            </w:r>
          </w:p>
        </w:tc>
      </w:tr>
      <w:tr w:rsidR="007207E6">
        <w:trPr>
          <w:trHeight w:val="560"/>
        </w:trPr>
        <w:tc>
          <w:tcPr>
            <w:tcW w:w="2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Poulin Jordan</w:t>
            </w:r>
          </w:p>
        </w:tc>
        <w:tc>
          <w:tcPr>
            <w:tcW w:w="6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Lundi PM, Mardi PM, Mercredi PM, Jeudi AM, Vendredi AM</w:t>
            </w:r>
          </w:p>
        </w:tc>
      </w:tr>
      <w:tr w:rsidR="007207E6">
        <w:trPr>
          <w:trHeight w:val="560"/>
        </w:trPr>
        <w:tc>
          <w:tcPr>
            <w:tcW w:w="2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Ricard Marilyne</w:t>
            </w:r>
          </w:p>
        </w:tc>
        <w:tc>
          <w:tcPr>
            <w:tcW w:w="6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Tout sauf lundi AM/PM et mercredi toute la journée</w:t>
            </w:r>
          </w:p>
        </w:tc>
      </w:tr>
      <w:tr w:rsidR="007207E6">
        <w:trPr>
          <w:trHeight w:val="560"/>
        </w:trPr>
        <w:tc>
          <w:tcPr>
            <w:tcW w:w="2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Légaré Stéphanie</w:t>
            </w:r>
          </w:p>
        </w:tc>
        <w:tc>
          <w:tcPr>
            <w:tcW w:w="6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Mardi PM, Mercredi PM, jeudi AM</w:t>
            </w:r>
          </w:p>
        </w:tc>
      </w:tr>
    </w:tbl>
    <w:p w:rsidR="007207E6" w:rsidRDefault="00325003">
      <w:pPr>
        <w:spacing w:before="240" w:after="2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Ce contrat rend compte des règles de fonctionnement établies collectivement quant au travail d’équipe à réaliser. En cas de situations de conflit, vous serez tenus de suivre les procédures ici formulées. Notez que </w:t>
      </w:r>
      <w:r>
        <w:rPr>
          <w:rFonts w:ascii="Verdana" w:eastAsia="Verdana" w:hAnsi="Verdana" w:cs="Verdana"/>
          <w:b/>
          <w:i/>
          <w:sz w:val="20"/>
          <w:szCs w:val="20"/>
        </w:rPr>
        <w:t>l’équipe est responsable de gérer le confl</w:t>
      </w:r>
      <w:r>
        <w:rPr>
          <w:rFonts w:ascii="Verdana" w:eastAsia="Verdana" w:hAnsi="Verdana" w:cs="Verdana"/>
          <w:b/>
          <w:i/>
          <w:sz w:val="20"/>
          <w:szCs w:val="20"/>
        </w:rPr>
        <w:t>it</w:t>
      </w:r>
      <w:r>
        <w:rPr>
          <w:rFonts w:ascii="Verdana" w:eastAsia="Verdana" w:hAnsi="Verdana" w:cs="Verdana"/>
          <w:i/>
          <w:sz w:val="20"/>
          <w:szCs w:val="20"/>
        </w:rPr>
        <w:t xml:space="preserve"> et que l’enseignant n’interviendra qu’en cas de problèmes cumulatifs avec un même coéquipier et sur présentation de preuves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des infractions commises.</w:t>
      </w:r>
    </w:p>
    <w:p w:rsidR="007207E6" w:rsidRDefault="00325003">
      <w:pPr>
        <w:spacing w:before="240" w:after="2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Dans le tableau à la page suivante, veuillez inscrire vos règles de fonctionnement et la procédure que vous vous engagez à suivre si un coéquipier enfreint les règles établies. Pour rédiger le contrat, je vous suggère d’utiliser le GUIDE POUR RÉALISER UNE </w:t>
      </w:r>
      <w:r>
        <w:rPr>
          <w:rFonts w:ascii="Verdana" w:eastAsia="Verdana" w:hAnsi="Verdana" w:cs="Verdana"/>
          <w:i/>
          <w:sz w:val="20"/>
          <w:szCs w:val="20"/>
        </w:rPr>
        <w:t>ÉVALUATION DÉTAILLÉE DE L’EFFICACITÉ DES MEMBRES DE L’ÉQUIPE, disponible au format PDF sur le site web du cours dans l’évaluation Contribution au travail d’équipe.</w:t>
      </w:r>
    </w:p>
    <w:p w:rsidR="007207E6" w:rsidRDefault="00325003">
      <w:pPr>
        <w:spacing w:before="24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Exemple de règles et de procédure :</w:t>
      </w:r>
    </w:p>
    <w:tbl>
      <w:tblPr>
        <w:tblStyle w:val="a0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380"/>
      </w:tblGrid>
      <w:tr w:rsidR="007207E6">
        <w:trPr>
          <w:trHeight w:val="90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rPr>
                <w:rFonts w:ascii="Verdana" w:eastAsia="Verdana" w:hAnsi="Verdana" w:cs="Verdana"/>
                <w:b/>
                <w:smallCaps/>
                <w:color w:val="FFFFFF"/>
              </w:rPr>
            </w:pPr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Règles de fonctionnement</w:t>
            </w:r>
          </w:p>
        </w:tc>
        <w:tc>
          <w:tcPr>
            <w:tcW w:w="4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rPr>
                <w:rFonts w:ascii="Verdana" w:eastAsia="Verdana" w:hAnsi="Verdana" w:cs="Verdana"/>
                <w:b/>
                <w:smallCaps/>
                <w:color w:val="FFFFFF"/>
              </w:rPr>
            </w:pPr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Procédure en cas d’infraction</w:t>
            </w:r>
          </w:p>
        </w:tc>
      </w:tr>
      <w:tr w:rsidR="007207E6">
        <w:trPr>
          <w:trHeight w:val="56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jc w:val="center"/>
              <w:rPr>
                <w:rFonts w:ascii="Verdana" w:eastAsia="Verdana" w:hAnsi="Verdana" w:cs="Verdana"/>
                <w:b/>
                <w:color w:val="595959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595959"/>
                <w:sz w:val="20"/>
                <w:szCs w:val="20"/>
              </w:rPr>
              <w:t>Contribution individuelle attendue</w:t>
            </w:r>
          </w:p>
        </w:tc>
      </w:tr>
      <w:tr w:rsidR="007207E6">
        <w:trPr>
          <w:trHeight w:val="394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ind w:left="820" w:hanging="360"/>
              <w:rPr>
                <w:rFonts w:ascii="Verdana" w:eastAsia="Verdana" w:hAnsi="Verdana" w:cs="Verdana"/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lastRenderedPageBreak/>
              <w:t xml:space="preserve">·        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S’assurer que notre travail respecte les directives avant de le soumettre aux autres.</w:t>
            </w:r>
          </w:p>
          <w:p w:rsidR="007207E6" w:rsidRDefault="00325003">
            <w:pPr>
              <w:spacing w:before="60" w:after="60"/>
              <w:ind w:left="820" w:hanging="360"/>
              <w:rPr>
                <w:rFonts w:ascii="Verdana" w:eastAsia="Verdana" w:hAnsi="Verdana" w:cs="Verdana"/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·        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Relire notre travail avant de le soumettre aux autres.</w:t>
            </w:r>
          </w:p>
          <w:p w:rsidR="007207E6" w:rsidRDefault="00325003">
            <w:pPr>
              <w:spacing w:before="60" w:after="60"/>
              <w:ind w:left="820" w:hanging="360"/>
              <w:rPr>
                <w:rFonts w:ascii="Verdana" w:eastAsia="Verdana" w:hAnsi="Verdana" w:cs="Verdana"/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·        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Vérifier l’orthographe et la grammaire de notre travail à l’aide d’un correcteur automatique avant de le soumettre aux autres. 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numPr>
                <w:ilvl w:val="0"/>
                <w:numId w:val="3"/>
              </w:numPr>
              <w:spacing w:before="60"/>
              <w:rPr>
                <w:rFonts w:ascii="Verdana" w:eastAsia="Verdana" w:hAnsi="Verdana" w:cs="Verdana"/>
                <w:color w:val="595959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1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re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infraction : 1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er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avertissement</w:t>
            </w:r>
          </w:p>
          <w:p w:rsidR="007207E6" w:rsidRDefault="00325003">
            <w:pPr>
              <w:numPr>
                <w:ilvl w:val="0"/>
                <w:numId w:val="3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2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e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infraction : 2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e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avertissement et retrait de points pour le critère sur la qualité de la contribution individuelle dans l’évaluation de la contribution à l’équipe (Critère C1)</w:t>
            </w:r>
          </w:p>
          <w:p w:rsidR="007207E6" w:rsidRDefault="00325003">
            <w:pPr>
              <w:numPr>
                <w:ilvl w:val="0"/>
                <w:numId w:val="3"/>
              </w:numPr>
              <w:spacing w:after="60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3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e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infraction : attribution de la note 0 à tous les critères de l’évaluation de la contribution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à l’équipe et communication du problème à l’enseignant en lui présentant des preuves des infractions commises par le coéquipier</w:t>
            </w:r>
          </w:p>
        </w:tc>
      </w:tr>
    </w:tbl>
    <w:p w:rsidR="007207E6" w:rsidRDefault="00325003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Règles de fonctionnement et procédures établies par l’équipe :</w:t>
      </w:r>
    </w:p>
    <w:tbl>
      <w:tblPr>
        <w:tblStyle w:val="a1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290"/>
      </w:tblGrid>
      <w:tr w:rsidR="007207E6">
        <w:trPr>
          <w:trHeight w:val="920"/>
        </w:trPr>
        <w:tc>
          <w:tcPr>
            <w:tcW w:w="45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rPr>
                <w:rFonts w:ascii="Verdana" w:eastAsia="Verdana" w:hAnsi="Verdana" w:cs="Verdana"/>
                <w:b/>
                <w:smallCaps/>
                <w:color w:val="FFFFFF"/>
              </w:rPr>
            </w:pPr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Règles de fonctionnement</w:t>
            </w:r>
          </w:p>
        </w:tc>
        <w:tc>
          <w:tcPr>
            <w:tcW w:w="429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rPr>
                <w:rFonts w:ascii="Verdana" w:eastAsia="Verdana" w:hAnsi="Verdana" w:cs="Verdana"/>
                <w:b/>
                <w:smallCaps/>
                <w:color w:val="FFFFFF"/>
              </w:rPr>
            </w:pPr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Procédures en cas d’infraction</w:t>
            </w:r>
          </w:p>
        </w:tc>
      </w:tr>
      <w:tr w:rsidR="007207E6">
        <w:trPr>
          <w:trHeight w:val="580"/>
        </w:trPr>
        <w:tc>
          <w:tcPr>
            <w:tcW w:w="8835" w:type="dxa"/>
            <w:gridSpan w:val="2"/>
            <w:tcBorders>
              <w:top w:val="nil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Contribution individuelle attendue</w:t>
            </w:r>
          </w:p>
        </w:tc>
      </w:tr>
      <w:tr w:rsidR="007207E6">
        <w:trPr>
          <w:trHeight w:val="1500"/>
        </w:trPr>
        <w:tc>
          <w:tcPr>
            <w:tcW w:w="454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Partage des tâches :</w:t>
            </w:r>
          </w:p>
          <w:p w:rsidR="007207E6" w:rsidRDefault="00325003">
            <w:pPr>
              <w:numPr>
                <w:ilvl w:val="0"/>
                <w:numId w:val="1"/>
              </w:num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Équitable entre tous</w:t>
            </w:r>
          </w:p>
          <w:p w:rsidR="007207E6" w:rsidRDefault="00325003">
            <w:pPr>
              <w:numPr>
                <w:ilvl w:val="0"/>
                <w:numId w:val="1"/>
              </w:numPr>
              <w:spacing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Prendre en compte les lacunes de chacun</w:t>
            </w:r>
          </w:p>
          <w:p w:rsidR="007207E6" w:rsidRDefault="00325003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Critères de qualité : </w:t>
            </w:r>
          </w:p>
          <w:p w:rsidR="007207E6" w:rsidRDefault="00325003">
            <w:pPr>
              <w:numPr>
                <w:ilvl w:val="0"/>
                <w:numId w:val="2"/>
              </w:num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Qualité du Français</w:t>
            </w:r>
          </w:p>
          <w:p w:rsidR="007207E6" w:rsidRDefault="00325003">
            <w:pPr>
              <w:numPr>
                <w:ilvl w:val="0"/>
                <w:numId w:val="2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Cohérence des phrases</w:t>
            </w:r>
          </w:p>
          <w:p w:rsidR="007207E6" w:rsidRDefault="00325003">
            <w:pPr>
              <w:numPr>
                <w:ilvl w:val="0"/>
                <w:numId w:val="2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Pas de répétitions</w:t>
            </w:r>
          </w:p>
          <w:p w:rsidR="007207E6" w:rsidRDefault="00325003">
            <w:pPr>
              <w:numPr>
                <w:ilvl w:val="0"/>
                <w:numId w:val="2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Éviter les paraphrases</w:t>
            </w:r>
          </w:p>
          <w:p w:rsidR="007207E6" w:rsidRDefault="00325003">
            <w:pPr>
              <w:numPr>
                <w:ilvl w:val="0"/>
                <w:numId w:val="2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Utiliser les termes en relation avec le cours</w:t>
            </w:r>
          </w:p>
          <w:p w:rsidR="007207E6" w:rsidRDefault="00325003">
            <w:pPr>
              <w:numPr>
                <w:ilvl w:val="0"/>
                <w:numId w:val="2"/>
              </w:numPr>
              <w:spacing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Citer les sources d’informations selon les normes </w:t>
            </w:r>
          </w:p>
          <w:p w:rsidR="007207E6" w:rsidRDefault="00325003">
            <w:pPr>
              <w:spacing w:before="60" w:after="60"/>
              <w:ind w:left="800" w:hanging="3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ind w:left="84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   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1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re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infraction : 1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er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avertissement</w:t>
            </w:r>
            <w:r>
              <w:rPr>
                <w:sz w:val="20"/>
                <w:szCs w:val="20"/>
              </w:rPr>
              <w:t xml:space="preserve"> </w:t>
            </w:r>
          </w:p>
          <w:p w:rsidR="007207E6" w:rsidRDefault="00325003">
            <w:pPr>
              <w:spacing w:before="60" w:after="60"/>
              <w:ind w:left="840" w:hanging="360"/>
              <w:rPr>
                <w:rFonts w:ascii="Verdana" w:eastAsia="Verdana" w:hAnsi="Verdana" w:cs="Verdana"/>
                <w:color w:val="595959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-    2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e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infraction : 2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e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avertissement et retrait de points pour le critère sur la qualité de la contribution individuelle dans l’évaluation de la contribution à l’équipe (Critère C1)</w:t>
            </w:r>
          </w:p>
          <w:p w:rsidR="007207E6" w:rsidRDefault="00325003">
            <w:pPr>
              <w:spacing w:before="60" w:after="60"/>
              <w:ind w:left="840" w:hanging="360"/>
              <w:rPr>
                <w:rFonts w:ascii="Verdana" w:eastAsia="Verdana" w:hAnsi="Verdana" w:cs="Verdana"/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-     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3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e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infraction : attribution de la note 0 à tous les critères de l’évaluation de la contrib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ution à l’équipe et communication du problème à l’enseignant en lui présentant des preuves des infractions commises par le coéquipier</w:t>
            </w:r>
          </w:p>
          <w:p w:rsidR="007207E6" w:rsidRDefault="00325003">
            <w:pPr>
              <w:spacing w:before="60" w:after="60"/>
              <w:ind w:left="840" w:hanging="3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7207E6">
        <w:trPr>
          <w:trHeight w:val="580"/>
        </w:trPr>
        <w:tc>
          <w:tcPr>
            <w:tcW w:w="8835" w:type="dxa"/>
            <w:gridSpan w:val="2"/>
            <w:tcBorders>
              <w:top w:val="nil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Rencontres d’équipe</w:t>
            </w:r>
          </w:p>
        </w:tc>
      </w:tr>
      <w:tr w:rsidR="007207E6">
        <w:trPr>
          <w:trHeight w:val="1500"/>
        </w:trPr>
        <w:tc>
          <w:tcPr>
            <w:tcW w:w="454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Préparation attendue :</w:t>
            </w:r>
          </w:p>
          <w:p w:rsidR="007207E6" w:rsidRDefault="00325003">
            <w:pPr>
              <w:numPr>
                <w:ilvl w:val="0"/>
                <w:numId w:val="8"/>
              </w:num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Connaître son cours</w:t>
            </w:r>
          </w:p>
          <w:p w:rsidR="007207E6" w:rsidRDefault="00325003">
            <w:pPr>
              <w:numPr>
                <w:ilvl w:val="0"/>
                <w:numId w:val="8"/>
              </w:numPr>
              <w:spacing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Être dans une optique de travail</w:t>
            </w:r>
          </w:p>
          <w:p w:rsidR="007207E6" w:rsidRDefault="00325003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Absences :</w:t>
            </w:r>
          </w:p>
          <w:p w:rsidR="007207E6" w:rsidRDefault="00325003">
            <w:pPr>
              <w:numPr>
                <w:ilvl w:val="0"/>
                <w:numId w:val="4"/>
              </w:num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Prévenir des indisponibilités</w:t>
            </w:r>
          </w:p>
          <w:p w:rsidR="007207E6" w:rsidRDefault="00325003">
            <w:pPr>
              <w:numPr>
                <w:ilvl w:val="0"/>
                <w:numId w:val="4"/>
              </w:numPr>
              <w:spacing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Avoir une justification valide</w:t>
            </w:r>
            <w:r>
              <w:rPr>
                <w:sz w:val="20"/>
                <w:szCs w:val="20"/>
              </w:rPr>
              <w:t xml:space="preserve">    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numPr>
                <w:ilvl w:val="0"/>
                <w:numId w:val="6"/>
              </w:numPr>
              <w:spacing w:before="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1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re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infraction : 1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er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avertissement</w:t>
            </w:r>
          </w:p>
          <w:p w:rsidR="007207E6" w:rsidRDefault="00325003">
            <w:pPr>
              <w:numPr>
                <w:ilvl w:val="0"/>
                <w:numId w:val="9"/>
              </w:numPr>
              <w:rPr>
                <w:rFonts w:ascii="Verdana" w:eastAsia="Verdana" w:hAnsi="Verdana" w:cs="Verdana"/>
                <w:color w:val="595959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2e infraction : 2e avertissement de l’équipe</w:t>
            </w:r>
          </w:p>
          <w:p w:rsidR="007207E6" w:rsidRDefault="00325003">
            <w:pPr>
              <w:numPr>
                <w:ilvl w:val="0"/>
                <w:numId w:val="9"/>
              </w:numPr>
              <w:spacing w:after="60"/>
              <w:rPr>
                <w:rFonts w:ascii="Verdana" w:eastAsia="Verdana" w:hAnsi="Verdana" w:cs="Verdana"/>
                <w:color w:val="595959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3e infraction : 3e avertissement et retrait de l’équipe si aucun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e disposition raisonnable n’est envisagé de la part du coéquipier (communication du problème à l’enseignant)  </w:t>
            </w:r>
          </w:p>
        </w:tc>
      </w:tr>
      <w:tr w:rsidR="007207E6">
        <w:trPr>
          <w:trHeight w:val="580"/>
        </w:trPr>
        <w:tc>
          <w:tcPr>
            <w:tcW w:w="8835" w:type="dxa"/>
            <w:gridSpan w:val="2"/>
            <w:tcBorders>
              <w:top w:val="nil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Communication entre les coéquipiers</w:t>
            </w:r>
          </w:p>
        </w:tc>
      </w:tr>
      <w:tr w:rsidR="007207E6">
        <w:trPr>
          <w:trHeight w:val="2600"/>
        </w:trPr>
        <w:tc>
          <w:tcPr>
            <w:tcW w:w="454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Mode de communication privilégié entre les rencontres :</w:t>
            </w:r>
          </w:p>
          <w:p w:rsidR="007207E6" w:rsidRDefault="00325003">
            <w:pPr>
              <w:numPr>
                <w:ilvl w:val="0"/>
                <w:numId w:val="7"/>
              </w:num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Facebook Messenger</w:t>
            </w:r>
          </w:p>
          <w:p w:rsidR="007207E6" w:rsidRDefault="00325003">
            <w:pPr>
              <w:numPr>
                <w:ilvl w:val="0"/>
                <w:numId w:val="7"/>
              </w:numPr>
              <w:spacing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Salle de marketing</w:t>
            </w:r>
          </w:p>
          <w:p w:rsidR="007207E6" w:rsidRDefault="00325003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Délai de réponse attendu aux messages des coéquipiers :</w:t>
            </w:r>
          </w:p>
          <w:p w:rsidR="007207E6" w:rsidRDefault="00325003">
            <w:pPr>
              <w:numPr>
                <w:ilvl w:val="0"/>
                <w:numId w:val="10"/>
              </w:num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Dans la journée</w:t>
            </w:r>
          </w:p>
          <w:p w:rsidR="007207E6" w:rsidRDefault="00325003">
            <w:pPr>
              <w:numPr>
                <w:ilvl w:val="0"/>
                <w:numId w:val="10"/>
              </w:numPr>
              <w:spacing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Avant la rencontre</w:t>
            </w:r>
          </w:p>
          <w:p w:rsidR="007207E6" w:rsidRDefault="00325003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Échanges entre les coéquipiers :</w:t>
            </w:r>
          </w:p>
          <w:p w:rsidR="007207E6" w:rsidRDefault="00325003">
            <w:pPr>
              <w:numPr>
                <w:ilvl w:val="0"/>
                <w:numId w:val="11"/>
              </w:num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Groupe facebook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numPr>
                <w:ilvl w:val="0"/>
                <w:numId w:val="6"/>
              </w:numPr>
              <w:spacing w:before="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1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re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infraction : 1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er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avertissement</w:t>
            </w:r>
          </w:p>
          <w:p w:rsidR="007207E6" w:rsidRDefault="00325003">
            <w:pPr>
              <w:numPr>
                <w:ilvl w:val="0"/>
                <w:numId w:val="9"/>
              </w:numPr>
              <w:rPr>
                <w:rFonts w:ascii="Verdana" w:eastAsia="Verdana" w:hAnsi="Verdana" w:cs="Verdana"/>
                <w:color w:val="595959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2e infraction : 2e avertissement de l’équipe</w:t>
            </w:r>
          </w:p>
          <w:p w:rsidR="007207E6" w:rsidRDefault="00325003">
            <w:pPr>
              <w:numPr>
                <w:ilvl w:val="0"/>
                <w:numId w:val="9"/>
              </w:numPr>
              <w:spacing w:after="60"/>
              <w:rPr>
                <w:rFonts w:ascii="Verdana" w:eastAsia="Verdana" w:hAnsi="Verdana" w:cs="Verdana"/>
                <w:color w:val="595959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3e infraction : 3e avertissement et retrait de l’équipe si aucune disposition raisonnable n’est envisagé de la part du coéquipier (communication du problème à l’enseignant)</w:t>
            </w:r>
          </w:p>
          <w:p w:rsidR="007207E6" w:rsidRDefault="007207E6">
            <w:pPr>
              <w:spacing w:before="60" w:after="6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7207E6">
        <w:trPr>
          <w:trHeight w:val="580"/>
        </w:trPr>
        <w:tc>
          <w:tcPr>
            <w:tcW w:w="8835" w:type="dxa"/>
            <w:gridSpan w:val="2"/>
            <w:tcBorders>
              <w:top w:val="nil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spacing w:before="60" w:after="6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Gestion des retards</w:t>
            </w:r>
          </w:p>
        </w:tc>
      </w:tr>
      <w:tr w:rsidR="007207E6">
        <w:trPr>
          <w:trHeight w:val="580"/>
        </w:trPr>
        <w:tc>
          <w:tcPr>
            <w:tcW w:w="454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numPr>
                <w:ilvl w:val="0"/>
                <w:numId w:val="5"/>
              </w:num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 moins possible</w:t>
            </w:r>
          </w:p>
          <w:p w:rsidR="007207E6" w:rsidRDefault="00325003">
            <w:pPr>
              <w:numPr>
                <w:ilvl w:val="0"/>
                <w:numId w:val="5"/>
              </w:numPr>
              <w:spacing w:after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Dans la limite du raisonnable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7E6" w:rsidRDefault="00325003">
            <w:pPr>
              <w:numPr>
                <w:ilvl w:val="0"/>
                <w:numId w:val="6"/>
              </w:numPr>
              <w:spacing w:before="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1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re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infraction : 1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  <w:vertAlign w:val="superscript"/>
              </w:rPr>
              <w:t>er</w:t>
            </w: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 xml:space="preserve"> avertissement</w:t>
            </w:r>
          </w:p>
          <w:p w:rsidR="007207E6" w:rsidRDefault="00325003">
            <w:pPr>
              <w:numPr>
                <w:ilvl w:val="0"/>
                <w:numId w:val="9"/>
              </w:numPr>
              <w:rPr>
                <w:rFonts w:ascii="Verdana" w:eastAsia="Verdana" w:hAnsi="Verdana" w:cs="Verdana"/>
                <w:color w:val="595959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2e infraction : 2e avertissement de l’équipe</w:t>
            </w:r>
          </w:p>
          <w:p w:rsidR="007207E6" w:rsidRDefault="00325003">
            <w:pPr>
              <w:numPr>
                <w:ilvl w:val="0"/>
                <w:numId w:val="9"/>
              </w:numPr>
              <w:spacing w:after="60"/>
              <w:rPr>
                <w:rFonts w:ascii="Verdana" w:eastAsia="Verdana" w:hAnsi="Verdana" w:cs="Verdana"/>
                <w:color w:val="595959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595959"/>
                <w:sz w:val="20"/>
                <w:szCs w:val="20"/>
              </w:rPr>
              <w:t>3e infraction : 3e avertissement et retrait de l’équipe si aucune disposition raisonnable n’est envisagé de la part du coéquipier (communication du problème à l’enseignant)</w:t>
            </w:r>
          </w:p>
        </w:tc>
      </w:tr>
    </w:tbl>
    <w:p w:rsidR="007207E6" w:rsidRDefault="00325003">
      <w:pPr>
        <w:rPr>
          <w:rFonts w:ascii="Verdana" w:eastAsia="Verdana" w:hAnsi="Verdana" w:cs="Verdana"/>
          <w:b/>
          <w:smallCaps/>
        </w:rPr>
      </w:pPr>
      <w:r>
        <w:rPr>
          <w:rFonts w:ascii="Verdana" w:eastAsia="Verdana" w:hAnsi="Verdana" w:cs="Verdana"/>
          <w:b/>
          <w:smallCaps/>
        </w:rPr>
        <w:t xml:space="preserve"> </w:t>
      </w:r>
    </w:p>
    <w:p w:rsidR="007207E6" w:rsidRDefault="007207E6">
      <w:pPr>
        <w:spacing w:line="256" w:lineRule="auto"/>
        <w:rPr>
          <w:rFonts w:ascii="Verdana" w:eastAsia="Verdana" w:hAnsi="Verdana" w:cs="Verdana"/>
          <w:b/>
          <w:smallCaps/>
        </w:rPr>
      </w:pPr>
    </w:p>
    <w:p w:rsidR="007207E6" w:rsidRDefault="00325003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Signatures</w:t>
      </w:r>
    </w:p>
    <w:p w:rsidR="007207E6" w:rsidRDefault="00325003">
      <w:pPr>
        <w:spacing w:line="36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Ce contrat est le résultat d’un consensus entre les membres de l’équipe. Chaque membre de l’équipe s’engage à le respecter tout au long de la session et des différents travaux à remettre.</w:t>
      </w:r>
    </w:p>
    <w:p w:rsidR="007207E6" w:rsidRPr="00AF2359" w:rsidRDefault="00325003">
      <w:pPr>
        <w:spacing w:line="360" w:lineRule="auto"/>
        <w:rPr>
          <w:rFonts w:ascii="Verdana" w:eastAsia="Verdana" w:hAnsi="Verdana" w:cs="Verdana"/>
          <w:sz w:val="20"/>
          <w:szCs w:val="20"/>
          <w:u w:val="single"/>
          <w:lang w:val="fr-FR"/>
        </w:rPr>
      </w:pPr>
      <w:r>
        <w:rPr>
          <w:rFonts w:ascii="Verdana" w:eastAsia="Verdana" w:hAnsi="Verdana" w:cs="Verdana"/>
          <w:sz w:val="20"/>
          <w:szCs w:val="20"/>
        </w:rPr>
        <w:t>Date de la signature du contrat :  2018-09-</w:t>
      </w:r>
      <w:r w:rsidR="00AF2359">
        <w:rPr>
          <w:rFonts w:ascii="Verdana" w:eastAsia="Verdana" w:hAnsi="Verdana" w:cs="Verdana"/>
          <w:sz w:val="20"/>
          <w:szCs w:val="20"/>
          <w:lang w:val="fr-FR"/>
        </w:rPr>
        <w:t>18</w:t>
      </w:r>
    </w:p>
    <w:p w:rsidR="007207E6" w:rsidRPr="00325003" w:rsidRDefault="00325003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Signatures :                      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  <w:u w:val="single"/>
        </w:rPr>
        <w:t xml:space="preserve">                                                                 </w:t>
      </w:r>
      <w:r w:rsidRPr="00325003">
        <w:rPr>
          <w:rFonts w:ascii="Verdana" w:eastAsia="Verdana" w:hAnsi="Verdana" w:cs="Verdana"/>
          <w:noProof/>
          <w:sz w:val="20"/>
          <w:szCs w:val="20"/>
        </w:rPr>
        <w:drawing>
          <wp:inline distT="114300" distB="114300" distL="114300" distR="114300">
            <wp:extent cx="1162050" cy="395288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9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5003">
        <w:rPr>
          <w:rFonts w:ascii="Verdana" w:eastAsia="Verdana" w:hAnsi="Verdana" w:cs="Verdana"/>
          <w:noProof/>
          <w:sz w:val="20"/>
          <w:szCs w:val="20"/>
        </w:rPr>
        <w:drawing>
          <wp:inline distT="114300" distB="114300" distL="114300" distR="114300">
            <wp:extent cx="1243013" cy="4286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5003">
        <w:rPr>
          <w:rFonts w:ascii="Verdana" w:eastAsia="Verdana" w:hAnsi="Verdana" w:cs="Verdana"/>
          <w:noProof/>
          <w:sz w:val="20"/>
          <w:szCs w:val="20"/>
        </w:rPr>
        <w:drawing>
          <wp:inline distT="57150" distB="57150" distL="57150" distR="57150">
            <wp:extent cx="1395413" cy="42972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429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5003">
        <w:rPr>
          <w:rFonts w:ascii="Verdana" w:eastAsia="Verdana" w:hAnsi="Verdana" w:cs="Verdana"/>
          <w:noProof/>
          <w:sz w:val="20"/>
          <w:szCs w:val="20"/>
        </w:rPr>
        <w:drawing>
          <wp:inline distT="114300" distB="114300" distL="114300" distR="114300">
            <wp:extent cx="1509713" cy="333806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l="4967" t="28301" r="7211" b="45031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333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5003">
        <w:rPr>
          <w:rFonts w:ascii="Verdana" w:eastAsia="Verdana" w:hAnsi="Verdana" w:cs="Verdana"/>
          <w:noProof/>
          <w:sz w:val="20"/>
          <w:szCs w:val="20"/>
        </w:rPr>
        <w:drawing>
          <wp:inline distT="114300" distB="114300" distL="114300" distR="114300">
            <wp:extent cx="781050" cy="5524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25003">
        <w:rPr>
          <w:rFonts w:ascii="Verdana" w:eastAsia="Verdana" w:hAnsi="Verdana" w:cs="Verdana"/>
          <w:sz w:val="20"/>
          <w:szCs w:val="20"/>
        </w:rPr>
        <w:t xml:space="preserve">      </w:t>
      </w:r>
      <w:r w:rsidRPr="00325003">
        <w:rPr>
          <w:rFonts w:ascii="Verdana" w:eastAsia="Verdana" w:hAnsi="Verdana" w:cs="Verdana"/>
          <w:noProof/>
          <w:sz w:val="20"/>
          <w:szCs w:val="20"/>
        </w:rPr>
        <w:drawing>
          <wp:inline distT="114300" distB="114300" distL="114300" distR="114300" wp14:anchorId="23E6FACC" wp14:editId="6F301E07">
            <wp:extent cx="1662113" cy="338283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338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7E6" w:rsidRPr="00325003" w:rsidRDefault="00325003">
      <w:pPr>
        <w:spacing w:line="360" w:lineRule="auto"/>
      </w:pPr>
      <w:r w:rsidRPr="00325003">
        <w:rPr>
          <w:rFonts w:ascii="Verdana" w:eastAsia="Verdana" w:hAnsi="Verdana" w:cs="Verdana"/>
          <w:sz w:val="20"/>
          <w:szCs w:val="20"/>
        </w:rPr>
        <w:t xml:space="preserve">                                             </w:t>
      </w:r>
      <w:bookmarkStart w:id="0" w:name="_GoBack"/>
      <w:bookmarkEnd w:id="0"/>
      <w:r w:rsidRPr="00325003">
        <w:rPr>
          <w:rFonts w:ascii="Verdana" w:eastAsia="Verdana" w:hAnsi="Verdana" w:cs="Verdana"/>
          <w:sz w:val="20"/>
          <w:szCs w:val="20"/>
        </w:rPr>
        <w:t xml:space="preserve">        </w:t>
      </w:r>
    </w:p>
    <w:sectPr w:rsidR="007207E6" w:rsidRPr="003250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271"/>
    <w:multiLevelType w:val="multilevel"/>
    <w:tmpl w:val="89003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5D7085"/>
    <w:multiLevelType w:val="multilevel"/>
    <w:tmpl w:val="C2A23C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76309B"/>
    <w:multiLevelType w:val="multilevel"/>
    <w:tmpl w:val="EF10F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F32EFC"/>
    <w:multiLevelType w:val="multilevel"/>
    <w:tmpl w:val="50F2C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0E43D6"/>
    <w:multiLevelType w:val="multilevel"/>
    <w:tmpl w:val="4D006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043399"/>
    <w:multiLevelType w:val="multilevel"/>
    <w:tmpl w:val="65640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C51AD0"/>
    <w:multiLevelType w:val="multilevel"/>
    <w:tmpl w:val="CC4CF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5E678D9"/>
    <w:multiLevelType w:val="multilevel"/>
    <w:tmpl w:val="FDC04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5A1FD2"/>
    <w:multiLevelType w:val="multilevel"/>
    <w:tmpl w:val="F45AC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6542C5"/>
    <w:multiLevelType w:val="multilevel"/>
    <w:tmpl w:val="93B2A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3C63FD6"/>
    <w:multiLevelType w:val="multilevel"/>
    <w:tmpl w:val="80FCC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7E6"/>
    <w:rsid w:val="00325003"/>
    <w:rsid w:val="007207E6"/>
    <w:rsid w:val="00AF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6437"/>
  <w15:docId w15:val="{72C56ADC-A7AF-4A19-964B-B9793CD5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746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Maxime</cp:lastModifiedBy>
  <cp:revision>3</cp:revision>
  <dcterms:created xsi:type="dcterms:W3CDTF">2018-12-21T04:48:00Z</dcterms:created>
  <dcterms:modified xsi:type="dcterms:W3CDTF">2018-12-21T04:48:00Z</dcterms:modified>
</cp:coreProperties>
</file>