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Script de l'oral – Analyse de la politique RSE de Renault Group</w:t>
      </w:r>
    </w:p>
    <w:p>
      <w:pPr>
        <w:jc w:val="center"/>
      </w:pPr>
      <w:r>
        <w:rPr>
          <w:color w:val="595959"/>
          <w:sz w:val="22"/>
        </w:rPr>
        <w:t>EPITA · RSE (Responsabilité Sociétale des Entreprises) · [Nom du professeur] · vendredi 2 octobre 2026</w:t>
      </w:r>
    </w:p>
    <w:p>
      <w:pPr>
        <w:pStyle w:val="Caption"/>
      </w:pPr>
      <w:r>
        <w:t>Répartition de la parole</w:t>
      </w:r>
    </w:p>
    <w:tbl>
      <w:tblPr>
        <w:tblStyle w:val="TableGrid"/>
        <w:tblW w:type="auto" w:w="0"/>
        <w:jc w:val="center"/>
        <w:tblBorders>
          <w:top w:val="single" w:sz="4" w:space="0" w:color="BFB6A3"/>
          <w:left w:val="single" w:sz="4" w:space="0" w:color="BFB6A3"/>
          <w:bottom w:val="single" w:sz="4" w:space="0" w:color="BFB6A3"/>
          <w:right w:val="single" w:sz="4" w:space="0" w:color="BFB6A3"/>
          <w:insideH w:val="single" w:sz="4" w:space="0" w:color="BFB6A3"/>
          <w:insideV w:val="single" w:sz="4" w:space="0" w:color="BFB6A3"/>
        </w:tblBorders>
        <w:tblLayout w:type="fixed"/>
        <w:tblLook w:firstColumn="1" w:firstRow="1" w:lastColumn="0" w:lastRow="0" w:noHBand="0" w:noVBand="1" w:val="04A0"/>
      </w:tblPr>
      <w:tblGrid>
        <w:gridCol w:w="2835"/>
        <w:gridCol w:w="2268"/>
        <w:gridCol w:w="1984"/>
        <w:gridCol w:w="1984"/>
      </w:tblGrid>
      <w:tr>
        <w:trPr>
          <w:tblHeader/>
          <w:cantSplit/>
        </w:trPr>
        <w:tc>
          <w:tcPr>
            <w:tcW w:type="dxa" w:w="2835"/>
            <w:shd w:val="clear" w:color="auto" w:fill="1F1F1F"/>
            <w:tcMar>
              <w:top w:w="40" w:type="dxa"/>
              <w:left w:w="80" w:type="dxa"/>
              <w:bottom w:w="40" w:type="dxa"/>
              <w:right w:w="80" w:type="dxa"/>
            </w:tcMar>
          </w:tcPr>
          <w:p>
            <w:pPr>
              <w:pStyle w:val="TableText"/>
            </w:pPr>
            <w:r>
              <w:rPr>
                <w:b/>
                <w:color w:val="FFFFFF"/>
                <w:sz w:val="20"/>
              </w:rPr>
              <w:t>Orateur</w:t>
            </w:r>
          </w:p>
        </w:tc>
        <w:tc>
          <w:tcPr>
            <w:tcW w:type="dxa" w:w="2268"/>
            <w:shd w:val="clear" w:color="auto" w:fill="1F1F1F"/>
            <w:tcMar>
              <w:top w:w="40" w:type="dxa"/>
              <w:left w:w="80" w:type="dxa"/>
              <w:bottom w:w="40" w:type="dxa"/>
              <w:right w:w="80" w:type="dxa"/>
            </w:tcMar>
          </w:tcPr>
          <w:p>
            <w:pPr>
              <w:pStyle w:val="TableText"/>
            </w:pPr>
            <w:r>
              <w:rPr>
                <w:b/>
                <w:color w:val="FFFFFF"/>
                <w:sz w:val="20"/>
              </w:rPr>
              <w:t>Slides</w:t>
            </w:r>
          </w:p>
        </w:tc>
        <w:tc>
          <w:tcPr>
            <w:tcW w:type="dxa" w:w="1984"/>
            <w:shd w:val="clear" w:color="auto" w:fill="1F1F1F"/>
            <w:tcMar>
              <w:top w:w="40" w:type="dxa"/>
              <w:left w:w="80" w:type="dxa"/>
              <w:bottom w:w="40" w:type="dxa"/>
              <w:right w:w="80" w:type="dxa"/>
            </w:tcMar>
          </w:tcPr>
          <w:p>
            <w:pPr>
              <w:pStyle w:val="TableText"/>
            </w:pPr>
            <w:r>
              <w:rPr>
                <w:b/>
                <w:color w:val="FFFFFF"/>
                <w:sz w:val="20"/>
              </w:rPr>
              <w:t>Temps indicatif</w:t>
            </w:r>
          </w:p>
        </w:tc>
        <w:tc>
          <w:tcPr>
            <w:tcW w:type="dxa" w:w="1984"/>
            <w:shd w:val="clear" w:color="auto" w:fill="1F1F1F"/>
            <w:tcMar>
              <w:top w:w="40" w:type="dxa"/>
              <w:left w:w="80" w:type="dxa"/>
              <w:bottom w:w="40" w:type="dxa"/>
              <w:right w:w="80" w:type="dxa"/>
            </w:tcMar>
          </w:tcPr>
          <w:p>
            <w:pPr>
              <w:pStyle w:val="TableText"/>
            </w:pPr>
            <w:r>
              <w:rPr>
                <w:b/>
                <w:color w:val="FFFFFF"/>
                <w:sz w:val="20"/>
              </w:rPr>
              <w:t>Mots</w:t>
            </w:r>
          </w:p>
        </w:tc>
      </w:tr>
      <w:tr>
        <w:trPr>
          <w:cantSplit/>
        </w:trPr>
        <w:tc>
          <w:tcPr>
            <w:tcW w:type="dxa" w:w="2835"/>
            <w:tcMar>
              <w:top w:w="40" w:type="dxa"/>
              <w:left w:w="80" w:type="dxa"/>
              <w:bottom w:w="40" w:type="dxa"/>
              <w:right w:w="80" w:type="dxa"/>
            </w:tcMar>
          </w:tcPr>
          <w:p>
            <w:pPr>
              <w:pStyle w:val="TableText"/>
            </w:pPr>
            <w:r>
              <w:rPr>
                <w:b/>
                <w:sz w:val="20"/>
              </w:rPr>
              <w:t>Nicolas BINAND</w:t>
            </w:r>
          </w:p>
        </w:tc>
        <w:tc>
          <w:tcPr>
            <w:tcW w:type="dxa" w:w="2268"/>
            <w:tcMar>
              <w:top w:w="40" w:type="dxa"/>
              <w:left w:w="80" w:type="dxa"/>
              <w:bottom w:w="40" w:type="dxa"/>
              <w:right w:w="80" w:type="dxa"/>
            </w:tcMar>
          </w:tcPr>
          <w:p>
            <w:pPr>
              <w:pStyle w:val="TableText"/>
            </w:pPr>
            <w:r>
              <w:rPr>
                <w:sz w:val="20"/>
              </w:rPr>
              <w:t>1, 2, 3, 4, 17</w:t>
            </w:r>
          </w:p>
        </w:tc>
        <w:tc>
          <w:tcPr>
            <w:tcW w:type="dxa" w:w="1984"/>
            <w:tcMar>
              <w:top w:w="40" w:type="dxa"/>
              <w:left w:w="80" w:type="dxa"/>
              <w:bottom w:w="40" w:type="dxa"/>
              <w:right w:w="80" w:type="dxa"/>
            </w:tcMar>
          </w:tcPr>
          <w:p>
            <w:pPr>
              <w:pStyle w:val="TableText"/>
            </w:pPr>
            <w:r>
              <w:rPr>
                <w:sz w:val="20"/>
              </w:rPr>
              <w:t>3 min 35 s</w:t>
            </w:r>
          </w:p>
        </w:tc>
        <w:tc>
          <w:tcPr>
            <w:tcW w:type="dxa" w:w="1984"/>
            <w:tcMar>
              <w:top w:w="40" w:type="dxa"/>
              <w:left w:w="80" w:type="dxa"/>
              <w:bottom w:w="40" w:type="dxa"/>
              <w:right w:w="80" w:type="dxa"/>
            </w:tcMar>
          </w:tcPr>
          <w:p>
            <w:pPr>
              <w:pStyle w:val="TableText"/>
            </w:pPr>
            <w:r>
              <w:rPr>
                <w:sz w:val="20"/>
              </w:rPr>
              <w:t>517</w:t>
            </w:r>
          </w:p>
        </w:tc>
      </w:tr>
      <w:tr>
        <w:trPr>
          <w:cantSplit/>
        </w:trPr>
        <w:tc>
          <w:tcPr>
            <w:tcW w:type="dxa" w:w="2835"/>
            <w:shd w:val="clear" w:color="auto" w:fill="F4EFE4"/>
            <w:tcMar>
              <w:top w:w="40" w:type="dxa"/>
              <w:left w:w="80" w:type="dxa"/>
              <w:bottom w:w="40" w:type="dxa"/>
              <w:right w:w="80" w:type="dxa"/>
            </w:tcMar>
          </w:tcPr>
          <w:p>
            <w:pPr>
              <w:pStyle w:val="TableText"/>
            </w:pPr>
            <w:r>
              <w:rPr>
                <w:b/>
                <w:sz w:val="20"/>
              </w:rPr>
              <w:t>Danyil BAZAIN</w:t>
            </w:r>
          </w:p>
        </w:tc>
        <w:tc>
          <w:tcPr>
            <w:tcW w:type="dxa" w:w="2268"/>
            <w:shd w:val="clear" w:color="auto" w:fill="F4EFE4"/>
            <w:tcMar>
              <w:top w:w="40" w:type="dxa"/>
              <w:left w:w="80" w:type="dxa"/>
              <w:bottom w:w="40" w:type="dxa"/>
              <w:right w:w="80" w:type="dxa"/>
            </w:tcMar>
          </w:tcPr>
          <w:p>
            <w:pPr>
              <w:pStyle w:val="TableText"/>
            </w:pPr>
            <w:r>
              <w:rPr>
                <w:sz w:val="20"/>
              </w:rPr>
              <w:t>5, 6, 7, 8</w:t>
            </w:r>
          </w:p>
        </w:tc>
        <w:tc>
          <w:tcPr>
            <w:tcW w:type="dxa" w:w="1984"/>
            <w:shd w:val="clear" w:color="auto" w:fill="F4EFE4"/>
            <w:tcMar>
              <w:top w:w="40" w:type="dxa"/>
              <w:left w:w="80" w:type="dxa"/>
              <w:bottom w:w="40" w:type="dxa"/>
              <w:right w:w="80" w:type="dxa"/>
            </w:tcMar>
          </w:tcPr>
          <w:p>
            <w:pPr>
              <w:pStyle w:val="TableText"/>
            </w:pPr>
            <w:r>
              <w:rPr>
                <w:sz w:val="20"/>
              </w:rPr>
              <w:t>3 min 50 s</w:t>
            </w:r>
          </w:p>
        </w:tc>
        <w:tc>
          <w:tcPr>
            <w:tcW w:type="dxa" w:w="1984"/>
            <w:shd w:val="clear" w:color="auto" w:fill="F4EFE4"/>
            <w:tcMar>
              <w:top w:w="40" w:type="dxa"/>
              <w:left w:w="80" w:type="dxa"/>
              <w:bottom w:w="40" w:type="dxa"/>
              <w:right w:w="80" w:type="dxa"/>
            </w:tcMar>
          </w:tcPr>
          <w:p>
            <w:pPr>
              <w:pStyle w:val="TableText"/>
            </w:pPr>
            <w:r>
              <w:rPr>
                <w:sz w:val="20"/>
              </w:rPr>
              <w:t>514</w:t>
            </w:r>
          </w:p>
        </w:tc>
      </w:tr>
      <w:tr>
        <w:trPr>
          <w:cantSplit/>
        </w:trPr>
        <w:tc>
          <w:tcPr>
            <w:tcW w:type="dxa" w:w="2835"/>
            <w:tcMar>
              <w:top w:w="40" w:type="dxa"/>
              <w:left w:w="80" w:type="dxa"/>
              <w:bottom w:w="40" w:type="dxa"/>
              <w:right w:w="80" w:type="dxa"/>
            </w:tcMar>
          </w:tcPr>
          <w:p>
            <w:pPr>
              <w:pStyle w:val="TableText"/>
            </w:pPr>
            <w:r>
              <w:rPr>
                <w:b/>
                <w:sz w:val="20"/>
              </w:rPr>
              <w:t>Maxime JAEN</w:t>
            </w:r>
          </w:p>
        </w:tc>
        <w:tc>
          <w:tcPr>
            <w:tcW w:type="dxa" w:w="2268"/>
            <w:tcMar>
              <w:top w:w="40" w:type="dxa"/>
              <w:left w:w="80" w:type="dxa"/>
              <w:bottom w:w="40" w:type="dxa"/>
              <w:right w:w="80" w:type="dxa"/>
            </w:tcMar>
          </w:tcPr>
          <w:p>
            <w:pPr>
              <w:pStyle w:val="TableText"/>
            </w:pPr>
            <w:r>
              <w:rPr>
                <w:sz w:val="20"/>
              </w:rPr>
              <w:t>9, 10, 11, 12</w:t>
            </w:r>
          </w:p>
        </w:tc>
        <w:tc>
          <w:tcPr>
            <w:tcW w:type="dxa" w:w="1984"/>
            <w:tcMar>
              <w:top w:w="40" w:type="dxa"/>
              <w:left w:w="80" w:type="dxa"/>
              <w:bottom w:w="40" w:type="dxa"/>
              <w:right w:w="80" w:type="dxa"/>
            </w:tcMar>
          </w:tcPr>
          <w:p>
            <w:pPr>
              <w:pStyle w:val="TableText"/>
            </w:pPr>
            <w:r>
              <w:rPr>
                <w:sz w:val="20"/>
              </w:rPr>
              <w:t>3 min 40 s</w:t>
            </w:r>
          </w:p>
        </w:tc>
        <w:tc>
          <w:tcPr>
            <w:tcW w:type="dxa" w:w="1984"/>
            <w:tcMar>
              <w:top w:w="40" w:type="dxa"/>
              <w:left w:w="80" w:type="dxa"/>
              <w:bottom w:w="40" w:type="dxa"/>
              <w:right w:w="80" w:type="dxa"/>
            </w:tcMar>
          </w:tcPr>
          <w:p>
            <w:pPr>
              <w:pStyle w:val="TableText"/>
            </w:pPr>
            <w:r>
              <w:rPr>
                <w:sz w:val="20"/>
              </w:rPr>
              <w:t>482</w:t>
            </w:r>
          </w:p>
        </w:tc>
      </w:tr>
      <w:tr>
        <w:trPr>
          <w:cantSplit/>
        </w:trPr>
        <w:tc>
          <w:tcPr>
            <w:tcW w:type="dxa" w:w="2835"/>
            <w:shd w:val="clear" w:color="auto" w:fill="F4EFE4"/>
            <w:tcMar>
              <w:top w:w="40" w:type="dxa"/>
              <w:left w:w="80" w:type="dxa"/>
              <w:bottom w:w="40" w:type="dxa"/>
              <w:right w:w="80" w:type="dxa"/>
            </w:tcMar>
          </w:tcPr>
          <w:p>
            <w:pPr>
              <w:pStyle w:val="TableText"/>
            </w:pPr>
            <w:r>
              <w:rPr>
                <w:b/>
                <w:sz w:val="20"/>
              </w:rPr>
              <w:t>Matheo PICARD</w:t>
            </w:r>
          </w:p>
        </w:tc>
        <w:tc>
          <w:tcPr>
            <w:tcW w:type="dxa" w:w="2268"/>
            <w:shd w:val="clear" w:color="auto" w:fill="F4EFE4"/>
            <w:tcMar>
              <w:top w:w="40" w:type="dxa"/>
              <w:left w:w="80" w:type="dxa"/>
              <w:bottom w:w="40" w:type="dxa"/>
              <w:right w:w="80" w:type="dxa"/>
            </w:tcMar>
          </w:tcPr>
          <w:p>
            <w:pPr>
              <w:pStyle w:val="TableText"/>
            </w:pPr>
            <w:r>
              <w:rPr>
                <w:sz w:val="20"/>
              </w:rPr>
              <w:t>13, 14, 15, 16</w:t>
            </w:r>
          </w:p>
        </w:tc>
        <w:tc>
          <w:tcPr>
            <w:tcW w:type="dxa" w:w="1984"/>
            <w:shd w:val="clear" w:color="auto" w:fill="F4EFE4"/>
            <w:tcMar>
              <w:top w:w="40" w:type="dxa"/>
              <w:left w:w="80" w:type="dxa"/>
              <w:bottom w:w="40" w:type="dxa"/>
              <w:right w:w="80" w:type="dxa"/>
            </w:tcMar>
          </w:tcPr>
          <w:p>
            <w:pPr>
              <w:pStyle w:val="TableText"/>
            </w:pPr>
            <w:r>
              <w:rPr>
                <w:sz w:val="20"/>
              </w:rPr>
              <w:t>4 min 00 s</w:t>
            </w:r>
          </w:p>
        </w:tc>
        <w:tc>
          <w:tcPr>
            <w:tcW w:type="dxa" w:w="1984"/>
            <w:shd w:val="clear" w:color="auto" w:fill="F4EFE4"/>
            <w:tcMar>
              <w:top w:w="40" w:type="dxa"/>
              <w:left w:w="80" w:type="dxa"/>
              <w:bottom w:w="40" w:type="dxa"/>
              <w:right w:w="80" w:type="dxa"/>
            </w:tcMar>
          </w:tcPr>
          <w:p>
            <w:pPr>
              <w:pStyle w:val="TableText"/>
            </w:pPr>
            <w:r>
              <w:rPr>
                <w:sz w:val="20"/>
              </w:rPr>
              <w:t>503</w:t>
            </w:r>
          </w:p>
        </w:tc>
      </w:tr>
      <w:tr>
        <w:trPr>
          <w:cantSplit/>
        </w:trPr>
        <w:tc>
          <w:tcPr>
            <w:tcW w:type="dxa" w:w="2835"/>
            <w:tcMar>
              <w:top w:w="40" w:type="dxa"/>
              <w:left w:w="80" w:type="dxa"/>
              <w:bottom w:w="40" w:type="dxa"/>
              <w:right w:w="80" w:type="dxa"/>
            </w:tcMar>
          </w:tcPr>
          <w:p>
            <w:pPr>
              <w:pStyle w:val="TableText"/>
            </w:pPr>
            <w:r>
              <w:rPr>
                <w:b/>
                <w:sz w:val="20"/>
              </w:rPr>
              <w:t>Total</w:t>
            </w:r>
          </w:p>
        </w:tc>
        <w:tc>
          <w:tcPr>
            <w:tcW w:type="dxa" w:w="2268"/>
            <w:tcMar>
              <w:top w:w="40" w:type="dxa"/>
              <w:left w:w="80" w:type="dxa"/>
              <w:bottom w:w="40" w:type="dxa"/>
              <w:right w:w="80" w:type="dxa"/>
            </w:tcMar>
          </w:tcPr>
          <w:p>
            <w:pPr>
              <w:pStyle w:val="TableText"/>
            </w:pPr>
            <w:r>
              <w:rPr>
                <w:sz w:val="20"/>
              </w:rPr>
              <w:t>17 slides</w:t>
            </w:r>
          </w:p>
        </w:tc>
        <w:tc>
          <w:tcPr>
            <w:tcW w:type="dxa" w:w="1984"/>
            <w:tcMar>
              <w:top w:w="40" w:type="dxa"/>
              <w:left w:w="80" w:type="dxa"/>
              <w:bottom w:w="40" w:type="dxa"/>
              <w:right w:w="80" w:type="dxa"/>
            </w:tcMar>
          </w:tcPr>
          <w:p>
            <w:pPr>
              <w:pStyle w:val="TableText"/>
            </w:pPr>
            <w:r>
              <w:rPr>
                <w:b/>
                <w:sz w:val="20"/>
              </w:rPr>
              <w:t>15 min 05 s</w:t>
            </w:r>
          </w:p>
        </w:tc>
        <w:tc>
          <w:tcPr>
            <w:tcW w:type="dxa" w:w="1984"/>
            <w:tcMar>
              <w:top w:w="40" w:type="dxa"/>
              <w:left w:w="80" w:type="dxa"/>
              <w:bottom w:w="40" w:type="dxa"/>
              <w:right w:w="80" w:type="dxa"/>
            </w:tcMar>
          </w:tcPr>
          <w:p>
            <w:pPr>
              <w:pStyle w:val="TableText"/>
            </w:pPr>
            <w:r>
              <w:rPr>
                <w:b/>
                <w:sz w:val="20"/>
              </w:rPr>
              <w:t>2016</w:t>
            </w:r>
          </w:p>
        </w:tc>
      </w:tr>
    </w:tbl>
    <w:p>
      <w:pPr>
        <w:spacing w:after="80"/>
      </w:pPr>
    </w:p>
    <w:p>
      <w:r>
        <w:rPr>
          <w:i/>
        </w:rPr>
        <w:t>Conseils : parler lentement (environ 140 mots par minute), regarder le jury plutôt que l'écran, et laisser le graphique « parler » quelques secondes avant de le commenter. Les chiffres cités sont identiques à ceux du rapport écrit et du PowerPoint.</w:t>
      </w:r>
    </w:p>
    <w:p>
      <w:pPr>
        <w:pStyle w:val="Heading1"/>
      </w:pPr>
      <w:r>
        <w:t>Introduction</w:t>
      </w:r>
    </w:p>
    <w:p>
      <w:pPr>
        <w:pStyle w:val="Heading2"/>
      </w:pPr>
      <w:r>
        <w:t>Slide 1 – Analyse de la politique RSE de Renault Group</w:t>
      </w:r>
    </w:p>
    <w:p>
      <w:r>
        <w:rPr>
          <w:b/>
        </w:rPr>
        <w:t>Orateur :</w:t>
      </w:r>
      <w:r>
        <w:t xml:space="preserve"> Nicolas BINAND   ·   </w:t>
      </w:r>
      <w:r>
        <w:rPr>
          <w:b/>
        </w:rPr>
        <w:t>Temps indicatif :</w:t>
      </w:r>
      <w:r>
        <w:t xml:space="preserve"> 0:40   ·   </w:t>
      </w:r>
      <w:r>
        <w:rPr>
          <w:b/>
        </w:rPr>
        <w:t>Partie :</w:t>
      </w:r>
      <w:r>
        <w:t xml:space="preserve"> Introduction</w:t>
      </w:r>
    </w:p>
    <w:p>
      <w:r>
        <w:t>Bonjour à toutes et à tous. Nous sommes Nicolas, Danyil, Maxime et Matheo, et nous allons vous présenter notre étude de cas sur la politique RSE de Renault Group. Renault est souvent cité comme un bon élève de la RSE dans l'automobile. Notre objectif, c'est de vérifier si c'est vrai, en partant de ses propres documents et en les confrontant à ce qu'en disent la presse, la justice et les ONG. On a travaillé à partir du Document d'enregistrement universel 2025, des quatre chartes du groupe et d'une recherche documentaire complémentaire.</w:t>
      </w:r>
    </w:p>
    <w:p>
      <w:pPr>
        <w:pStyle w:val="Heading2"/>
      </w:pPr>
      <w:r>
        <w:t>Slide 2 – Renault Group en quelques chiffres</w:t>
      </w:r>
    </w:p>
    <w:p>
      <w:r>
        <w:rPr>
          <w:b/>
        </w:rPr>
        <w:t>Orateur :</w:t>
      </w:r>
      <w:r>
        <w:t xml:space="preserve"> Nicolas BINAND   ·   </w:t>
      </w:r>
      <w:r>
        <w:rPr>
          <w:b/>
        </w:rPr>
        <w:t>Temps indicatif :</w:t>
      </w:r>
      <w:r>
        <w:t xml:space="preserve"> 1:00   ·   </w:t>
      </w:r>
      <w:r>
        <w:rPr>
          <w:b/>
        </w:rPr>
        <w:t>Partie :</w:t>
      </w:r>
      <w:r>
        <w:t xml:space="preserve"> Introduction</w:t>
      </w:r>
    </w:p>
    <w:p>
      <w:r>
        <w:t>D'abord, qui est Renault Group en 2025 ? C'est 2,3 millions de véhicules vendus, 57,9 milliards d'euros de chiffre d'affaires et un peu plus de 100 000 salariés. Il y a quatre marques : Renault, Dacia, Alpine et Mobilize. Petite précision importante : le résultat net 2025 est de moins 10,9 milliards d'euros, mais c'est à cause de la dépréciation de la participation dans Nissan. Hors Nissan, le groupe reste bénéficiaire. Côté identité, Renault s'est donné en 2021 une raison d'être, au sens de la loi PACTE : « Nous faisons battre le cœur de l'innovation pour que la mobilité nous rapproche les uns des autres ». Et sa stratégie de développement durable repose sur trois piliers : l'environnement, la sécurité et l'inclusion.</w:t>
      </w:r>
    </w:p>
    <w:p>
      <w:pPr>
        <w:pStyle w:val="Heading2"/>
      </w:pPr>
      <w:r>
        <w:t>Slide 3 – Un cadre réglementaire exigeant… et mouvant</w:t>
      </w:r>
    </w:p>
    <w:p>
      <w:r>
        <w:rPr>
          <w:b/>
        </w:rPr>
        <w:t>Orateur :</w:t>
      </w:r>
      <w:r>
        <w:t xml:space="preserve"> Nicolas BINAND   ·   </w:t>
      </w:r>
      <w:r>
        <w:rPr>
          <w:b/>
        </w:rPr>
        <w:t>Temps indicatif :</w:t>
      </w:r>
      <w:r>
        <w:t xml:space="preserve"> 1:00   ·   </w:t>
      </w:r>
      <w:r>
        <w:rPr>
          <w:b/>
        </w:rPr>
        <w:t>Partie :</w:t>
      </w:r>
      <w:r>
        <w:t xml:space="preserve"> Introduction</w:t>
      </w:r>
    </w:p>
    <w:p>
      <w:r>
        <w:t>Cette RSE ne se joue pas dans le vide : il y a un cadre légal très dense. On a la loi Sapin II contre la corruption en 2016, le devoir de vigilance en 2017, la loi PACTE en 2019. Ensuite, la taxonomie verte, puis la CSRD, qui oblige Renault à publier un état de durabilité audité. Mais ce cadre bouge : en 2025, l'Europe a assoupli les normes CO2. En décembre 2025, la Commission a proposé de remplacer l'interdiction des voitures thermiques en 2035 par un objectif de moins 90 %. Et le paquet Omnibus a allégé la CSRD. Garder ça en tête est important pour juger ce qui relève du volontaire et ce qui relève de l'obligation. Autrement dit, une partie des progrès de Renault est imposée par la loi, et c'est précisément ce qu'on va essayer de distinguer tout au long de l'exposé.</w:t>
      </w:r>
    </w:p>
    <w:p>
      <w:pPr>
        <w:pStyle w:val="Heading2"/>
      </w:pPr>
      <w:r>
        <w:t>Slide 4 – Problématique et plan</w:t>
      </w:r>
    </w:p>
    <w:p>
      <w:r>
        <w:rPr>
          <w:b/>
        </w:rPr>
        <w:t>Orateur :</w:t>
      </w:r>
      <w:r>
        <w:t xml:space="preserve"> Nicolas BINAND   ·   </w:t>
      </w:r>
      <w:r>
        <w:rPr>
          <w:b/>
        </w:rPr>
        <w:t>Temps indicatif :</w:t>
      </w:r>
      <w:r>
        <w:t xml:space="preserve"> 0:40   ·   </w:t>
      </w:r>
      <w:r>
        <w:rPr>
          <w:b/>
        </w:rPr>
        <w:t>Partie :</w:t>
      </w:r>
      <w:r>
        <w:t xml:space="preserve"> Introduction</w:t>
      </w:r>
    </w:p>
    <w:p>
      <w:r>
        <w:t>D'où notre problématique : dans quelle mesure la politique RSE de Renault Group, très structurée sur le papier, se traduit-elle par des résultats à la hauteur de ses engagements ? On va répondre en deux temps. Dans une première partie, on étudie le rapport RSE et les actions concrètes du groupe. Dans une seconde partie, on les passe au crible : critiques externes, standards GRI et comparaison avec Stellantis. À chaque fois, on essaiera de confronter ce que Renault écrit à ce qui est réellement observé.</w:t>
      </w:r>
    </w:p>
    <w:p>
      <w:r>
        <w:rPr>
          <w:i/>
        </w:rPr>
        <w:t>Transition → Je laisse la parole à Danyil, qui va vous expliquer comment Renault rend compte de sa RSE.</w:t>
      </w:r>
    </w:p>
    <w:p>
      <w:pPr>
        <w:pStyle w:val="Heading1"/>
      </w:pPr>
      <w:r>
        <w:t>I.1 – Étude du rapport RSE</w:t>
      </w:r>
    </w:p>
    <w:p>
      <w:pPr>
        <w:pStyle w:val="Heading2"/>
      </w:pPr>
      <w:r>
        <w:t>Slide 5 – Le DEU et la double matérialité</w:t>
      </w:r>
    </w:p>
    <w:p>
      <w:r>
        <w:rPr>
          <w:b/>
        </w:rPr>
        <w:t>Orateur :</w:t>
      </w:r>
      <w:r>
        <w:t xml:space="preserve"> Danyil BAZAIN   ·   </w:t>
      </w:r>
      <w:r>
        <w:rPr>
          <w:b/>
        </w:rPr>
        <w:t>Temps indicatif :</w:t>
      </w:r>
      <w:r>
        <w:t xml:space="preserve"> 1:00   ·   </w:t>
      </w:r>
      <w:r>
        <w:rPr>
          <w:b/>
        </w:rPr>
        <w:t>Partie :</w:t>
      </w:r>
      <w:r>
        <w:t xml:space="preserve"> I.1 – Étude du rapport RSE</w:t>
      </w:r>
    </w:p>
    <w:p>
      <w:r>
        <w:t>Merci Nicolas. Notre source principale, c'est le Document d'enregistrement universel 2025 : 628 pages, déposé à l'AMF. Depuis la CSRD, il contient un état de durabilité selon les normes européennes ESRS, vérifié par les auditeurs. Le cœur de ce rapport, c'est la double matérialité : on croise l'impact de Renault sur le monde et l'impact du monde sur Renault. Au départ, le groupe a recensé 227 impacts, risques et opportunités. Il en ressort 39 matériels, regroupés en 20 enjeux. Parmi eux, 7 sont doublement matériels : par exemple la transition bas carbone, les ressources et le recyclage, ou les chaînes d'approvisionnement. Ce qu'on a apprécié, c'est la franchise du document. Renault écrit lui-même que « l'efficacité des politiques n'est pas toujours mesurée ». C'est rare dans un rapport de ce type, et c'est à mettre au crédit du groupe.</w:t>
      </w:r>
    </w:p>
    <w:p>
      <w:pPr>
        <w:pStyle w:val="Heading2"/>
      </w:pPr>
      <w:r>
        <w:t>Slide 6 – Une gouvernance RSE à tous les étages</w:t>
      </w:r>
    </w:p>
    <w:p>
      <w:r>
        <w:rPr>
          <w:b/>
        </w:rPr>
        <w:t>Orateur :</w:t>
      </w:r>
      <w:r>
        <w:t xml:space="preserve"> Danyil BAZAIN   ·   </w:t>
      </w:r>
      <w:r>
        <w:rPr>
          <w:b/>
        </w:rPr>
        <w:t>Temps indicatif :</w:t>
      </w:r>
      <w:r>
        <w:t xml:space="preserve"> 0:50   ·   </w:t>
      </w:r>
      <w:r>
        <w:rPr>
          <w:b/>
        </w:rPr>
        <w:t>Partie :</w:t>
      </w:r>
      <w:r>
        <w:t xml:space="preserve"> I.1 – Étude du rapport RSE</w:t>
      </w:r>
    </w:p>
    <w:p>
      <w:r>
        <w:t>Deuxième point : la gouvernance. Au sommet, le Conseil d'administration, avec 37,5 % de femmes. Il s'appuie sur un Comité Stratégie et Développement Durable, qui se réunit chaque trimestre et suit un tableau de bord ESG. En dessous, la Direction du Développement Durable pilote le tout chaque mois. Surtout, la RSE est reliée à l'argent : jusqu'à 57,5 % du salaire fixe du directeur général dépend de critères de durabilité, et un quart de ses actions de performance dépend d'une cible climat. C'est un vrai point fort, même si ces critères restent en partie des indicateurs de moyens.</w:t>
      </w:r>
    </w:p>
    <w:p>
      <w:pPr>
        <w:pStyle w:val="Heading2"/>
      </w:pPr>
      <w:r>
        <w:t>Slide 7 – Des objectifs chiffrés… déjà atteints ?</w:t>
      </w:r>
    </w:p>
    <w:p>
      <w:r>
        <w:rPr>
          <w:b/>
        </w:rPr>
        <w:t>Orateur :</w:t>
      </w:r>
      <w:r>
        <w:t xml:space="preserve"> Danyil BAZAIN   ·   </w:t>
      </w:r>
      <w:r>
        <w:rPr>
          <w:b/>
        </w:rPr>
        <w:t>Temps indicatif :</w:t>
      </w:r>
      <w:r>
        <w:t xml:space="preserve"> 1:00   ·   </w:t>
      </w:r>
      <w:r>
        <w:rPr>
          <w:b/>
        </w:rPr>
        <w:t>Partie :</w:t>
      </w:r>
      <w:r>
        <w:t xml:space="preserve"> I.1 – Étude du rapport RSE</w:t>
      </w:r>
    </w:p>
    <w:p>
      <w:r>
        <w:t>Venons-en aux objectifs. Renault vise la neutralité carbone en 2040 en Europe et en 2050 dans le monde. Entre 2019 et 2025, ses émissions totales ont baissé de 38 %. Regardez le graphique : sur les usines, c'est moins 64 %, pour une cible 2030 de moins 62,5 %. Sur la chaîne de valeur et l'usage des voitures, c'est moins 38 %, pour une cible de moins 27,5 %. Les deux cibles 2030 sont donc déjà dépassées, cinq ans en avance. On peut le lire de deux façons : soit la transformation marche très bien, soit les cibles étaient trop prudentes. D'ailleurs, pour le scope 3, Renault vise « nettement moins de 2 degrés », pas 1,5 degré. Autre signal : l'objectif de réduire de 30 % la consommation d'énergie des usines en 2025 n'a pas été tenu, on est à moins 28 %.</w:t>
      </w:r>
    </w:p>
    <w:p>
      <w:pPr>
        <w:pStyle w:val="Heading1"/>
      </w:pPr>
      <w:r>
        <w:t>I.2 – Actions concrètes</w:t>
      </w:r>
    </w:p>
    <w:p>
      <w:pPr>
        <w:pStyle w:val="Heading2"/>
      </w:pPr>
      <w:r>
        <w:t>Slide 8 – L'électrification : réelle en Europe</w:t>
      </w:r>
    </w:p>
    <w:p>
      <w:r>
        <w:rPr>
          <w:b/>
        </w:rPr>
        <w:t>Orateur :</w:t>
      </w:r>
      <w:r>
        <w:t xml:space="preserve"> Danyil BAZAIN   ·   </w:t>
      </w:r>
      <w:r>
        <w:rPr>
          <w:b/>
        </w:rPr>
        <w:t>Temps indicatif :</w:t>
      </w:r>
      <w:r>
        <w:t xml:space="preserve"> 1:00   ·   </w:t>
      </w:r>
      <w:r>
        <w:rPr>
          <w:b/>
        </w:rPr>
        <w:t>Partie :</w:t>
      </w:r>
      <w:r>
        <w:t xml:space="preserve"> I.2 – Actions concrètes</w:t>
      </w:r>
    </w:p>
    <w:p>
      <w:r>
        <w:t>Première action concrète, et la plus importante : l'électrification, parce que l'usage des voitures, c'est environ les trois quarts des émissions. Selon les analyses de Renault, une voiture électrique émet en moyenne deux fois moins sur son cycle de vie. En Europe, les progrès sont nets : 44,9 % des ventes sont électrifiées, et les émissions moyennes des voitures neuves sont passées sous les 100 grammes de CO2 par kilomètre. Mais regardez le graphique à l'échelle mondiale : seuls 10 % des ventes sont 100 % électriques, et 69 % sont encore des moteurs thermiques sans aucune électrification. Autrement dit, l'électrification est surtout une réalité européenne. En Inde ou en Amérique latine, Renault vend encore majoritairement de l'essence, du diesel et du GPL.</w:t>
      </w:r>
    </w:p>
    <w:p>
      <w:r>
        <w:rPr>
          <w:i/>
        </w:rPr>
        <w:t>Transition → Maxime va maintenant vous présenter les autres actions du groupe.</w:t>
      </w:r>
    </w:p>
    <w:p>
      <w:pPr>
        <w:pStyle w:val="Heading2"/>
      </w:pPr>
      <w:r>
        <w:t>Slide 9 – Économie circulaire et achats responsables</w:t>
      </w:r>
    </w:p>
    <w:p>
      <w:r>
        <w:rPr>
          <w:b/>
        </w:rPr>
        <w:t>Orateur :</w:t>
      </w:r>
      <w:r>
        <w:t xml:space="preserve"> Maxime JAEN   ·   </w:t>
      </w:r>
      <w:r>
        <w:rPr>
          <w:b/>
        </w:rPr>
        <w:t>Temps indicatif :</w:t>
      </w:r>
      <w:r>
        <w:t xml:space="preserve"> 1:00   ·   </w:t>
      </w:r>
      <w:r>
        <w:rPr>
          <w:b/>
        </w:rPr>
        <w:t>Partie :</w:t>
      </w:r>
      <w:r>
        <w:t xml:space="preserve"> I.2 – Actions concrètes</w:t>
      </w:r>
    </w:p>
    <w:p>
      <w:r>
        <w:t>Merci Danyil. Deuxième action phare : l'économie circulaire, avec la Refactory de Flins, présentée comme la première usine européenne dédiée à l'économie circulaire de la mobilité. On y reconditionne des voitures d'occasion, on y répare des batteries et on y remet des pièces à neuf. Résultat : les nouveaux modèles contiennent 17 à 20 % de plastique recyclé, deux fois la moyenne européenne. Côté achats, la politique fournisseurs de 2024 intègre des critères ESG et exige une note EcoVadis minimale. Il y a eu 107 audits en 2025. Mais la politique dit aussi que les fournisseurs de rang N, donc les mines, sont gérés par les fournisseurs de rang 1. Enfin, on note que la Refactory accompagne aussi l'arrêt de la production automobile à Flins en 2024, et que les syndicats restent sceptiques sur la reconversion des salariés.</w:t>
      </w:r>
    </w:p>
    <w:p>
      <w:pPr>
        <w:pStyle w:val="Heading2"/>
      </w:pPr>
      <w:r>
        <w:t>Slide 10 – Diversité, éthique et chartes</w:t>
      </w:r>
    </w:p>
    <w:p>
      <w:r>
        <w:rPr>
          <w:b/>
        </w:rPr>
        <w:t>Orateur :</w:t>
      </w:r>
      <w:r>
        <w:t xml:space="preserve"> Maxime JAEN   ·   </w:t>
      </w:r>
      <w:r>
        <w:rPr>
          <w:b/>
        </w:rPr>
        <w:t>Temps indicatif :</w:t>
      </w:r>
      <w:r>
        <w:t xml:space="preserve"> 1:00   ·   </w:t>
      </w:r>
      <w:r>
        <w:rPr>
          <w:b/>
        </w:rPr>
        <w:t>Partie :</w:t>
      </w:r>
      <w:r>
        <w:t xml:space="preserve"> I.2 – Actions concrètes</w:t>
      </w:r>
    </w:p>
    <w:p>
      <w:r>
        <w:t>Sur le volet social et éthique, on a analysé les quatre chartes fournies. La charte Diversité et Inclusion de 2022 fixe un objectif clair : supprimer l'écart salarial entre femmes et hommes d'ici 2025. La part de femmes dans le management est passée de 24,7 à 27,4 %. Côté éthique, c'est solide : le code anticorruption est très concret, avec par exemple un plafond de 60 euros pour les cadeaux, et le groupe est certifié ISO 37001 depuis 2024. En 2025, la plateforme d'alerte a reçu 883 signalements. La charte éthique, elle, chapeaute l'ensemble, mais reste surtout qualitative. Dernier point, les plaintes pour discrimination ou harcèlement sont en hausse, 287 contre 230 l'année précédente, ce qui peut aussi traduire une meilleure libération de la parole.</w:t>
      </w:r>
    </w:p>
    <w:p>
      <w:pPr>
        <w:pStyle w:val="Heading2"/>
      </w:pPr>
      <w:r>
        <w:t>Slide 11 – Labels, certifications et notations</w:t>
      </w:r>
    </w:p>
    <w:p>
      <w:r>
        <w:rPr>
          <w:b/>
        </w:rPr>
        <w:t>Orateur :</w:t>
      </w:r>
      <w:r>
        <w:t xml:space="preserve"> Maxime JAEN   ·   </w:t>
      </w:r>
      <w:r>
        <w:rPr>
          <w:b/>
        </w:rPr>
        <w:t>Temps indicatif :</w:t>
      </w:r>
      <w:r>
        <w:t xml:space="preserve"> 0:50   ·   </w:t>
      </w:r>
      <w:r>
        <w:rPr>
          <w:b/>
        </w:rPr>
        <w:t>Partie :</w:t>
      </w:r>
      <w:r>
        <w:t xml:space="preserve"> I.2 – Actions concrètes</w:t>
      </w:r>
    </w:p>
    <w:p>
      <w:r>
        <w:t>Côté certifications, 100 % des usines sont certifiées ISO 14001 pour l'environnement. En revanche, seuls deux sites sont certifiés ISO 45001 pour la santé et la sécurité. Renault a été le premier constructeur à faire valider ses objectifs climat par l'initiative SBTi en 2019, et il est dans l'indice CAC 40 ESG. Pour les agences de notation, on doit être transparents : on n'a pas pu accéder aux notes actuelles de MSCI, Sustainalytics ou du CDP, donc on les a marquées « à vérifier ». Par contre, deux évaluations d'ONG sont sévères. InfluenceMap note son lobbying climat D+. Amnesty lui donne 27 sur 90 sur les droits humains dans les batteries.</w:t>
      </w:r>
    </w:p>
    <w:p>
      <w:pPr>
        <w:pStyle w:val="Heading1"/>
      </w:pPr>
      <w:r>
        <w:t>II.1 – Analyse critique</w:t>
      </w:r>
    </w:p>
    <w:p>
      <w:pPr>
        <w:pStyle w:val="Heading2"/>
      </w:pPr>
      <w:r>
        <w:t>Slide 12 – Ce qui aurait pu être fait</w:t>
      </w:r>
    </w:p>
    <w:p>
      <w:r>
        <w:rPr>
          <w:b/>
        </w:rPr>
        <w:t>Orateur :</w:t>
      </w:r>
      <w:r>
        <w:t xml:space="preserve"> Maxime JAEN   ·   </w:t>
      </w:r>
      <w:r>
        <w:rPr>
          <w:b/>
        </w:rPr>
        <w:t>Temps indicatif :</w:t>
      </w:r>
      <w:r>
        <w:t xml:space="preserve"> 0:50   ·   </w:t>
      </w:r>
      <w:r>
        <w:rPr>
          <w:b/>
        </w:rPr>
        <w:t>Partie :</w:t>
      </w:r>
      <w:r>
        <w:t xml:space="preserve"> II.1 – Analyse critique</w:t>
      </w:r>
    </w:p>
    <w:p>
      <w:r>
        <w:t>On passe à la partie critique. Selon nous, plusieurs choses auraient pu être faites. D'abord, relever l'ambition climat, puisque les cibles 2030 sont déjà atteintes : viser 1,5 degré sur toute la chaîne de valeur. Ensuite, devenir société à mission, pour rendre la raison d'être vraiment engageante. Le label B Corp est peu adapté à un groupe coté de cette taille. Troisième piste : tracer les minerais jusqu'à la mine, parce que la politique de diligence raisonnable sur les batteries est encore « en construction ». Enfin, généraliser l'ISO 45001 et publier l'écart salarial pays par pays.</w:t>
      </w:r>
    </w:p>
    <w:p>
      <w:r>
        <w:rPr>
          <w:i/>
        </w:rPr>
        <w:t>Transition → Matheo va vous montrer comment les regards extérieurs confirment ces limites.</w:t>
      </w:r>
    </w:p>
    <w:p>
      <w:pPr>
        <w:pStyle w:val="Heading2"/>
      </w:pPr>
      <w:r>
        <w:t>Slide 13 – Regards externes : justice, presse, ONG</w:t>
      </w:r>
    </w:p>
    <w:p>
      <w:r>
        <w:rPr>
          <w:b/>
        </w:rPr>
        <w:t>Orateur :</w:t>
      </w:r>
      <w:r>
        <w:t xml:space="preserve"> Matheo PICARD   ·   </w:t>
      </w:r>
      <w:r>
        <w:rPr>
          <w:b/>
        </w:rPr>
        <w:t>Temps indicatif :</w:t>
      </w:r>
      <w:r>
        <w:t xml:space="preserve"> 1:10   ·   </w:t>
      </w:r>
      <w:r>
        <w:rPr>
          <w:b/>
        </w:rPr>
        <w:t>Partie :</w:t>
      </w:r>
      <w:r>
        <w:t xml:space="preserve"> II.1 – Analyse critique</w:t>
      </w:r>
    </w:p>
    <w:p>
      <w:r>
        <w:t>Merci Maxime. Plusieurs faits externes nuancent le discours. Le plus lourd, c'est le dieselgate. Renault est mis en examen depuis 2021 pour tromperie aggravée sur des moteurs diesel vendus entre 2009 et 2017. En juillet 2026, il a été renvoyé devant le tribunal correctionnel. Le procès n'a pas encore eu lieu, donc Renault est présumé innocent. Deuxième fait : en avril 2025, la Commission européenne a condamné Renault et Nissan à 81 millions d'euros d'amende pour une entente sur le recyclage. Les constructeurs s'étaient mis d'accord pour ne pas mettre en avant le contenu recyclé de leurs voitures. C'est définitif. Il y a aussi l'affaire Ghosn, jugée en septembre à Paris, et la sortie de Russie, avec une option de retour jusqu'en 2028. Enfin, côté ONG, InfluenceMap rappelle que Luca de Meo, alors président de l'association des constructeurs européens, a plaidé pour reporter les objectifs CO2 de 2025.</w:t>
      </w:r>
    </w:p>
    <w:p>
      <w:pPr>
        <w:pStyle w:val="Heading2"/>
      </w:pPr>
      <w:r>
        <w:t>Slide 14 – Engagements écrits vs faits observés</w:t>
      </w:r>
    </w:p>
    <w:p>
      <w:r>
        <w:rPr>
          <w:b/>
        </w:rPr>
        <w:t>Orateur :</w:t>
      </w:r>
      <w:r>
        <w:t xml:space="preserve"> Matheo PICARD   ·   </w:t>
      </w:r>
      <w:r>
        <w:rPr>
          <w:b/>
        </w:rPr>
        <w:t>Temps indicatif :</w:t>
      </w:r>
      <w:r>
        <w:t xml:space="preserve"> 1:00   ·   </w:t>
      </w:r>
      <w:r>
        <w:rPr>
          <w:b/>
        </w:rPr>
        <w:t>Partie :</w:t>
      </w:r>
      <w:r>
        <w:t xml:space="preserve"> II.1 – Analyse critique</w:t>
      </w:r>
    </w:p>
    <w:p>
      <w:r>
        <w:t>Ce tableau confronte les engagements écrits aux faits. Prenons l'exemple demandé : l'égalité salariale. La charte promettait de supprimer l'écart d'ici 2025 « dans tous les pays ». Renault dit l'avoir atteint dès 2023, avec même 0,8 % en faveur des femmes. Mais le DEU précise que ce calcul porte sur les cols blancs et les postes comparables, avec sa propre méthode. Donc l'objectif est tenu sur le périmètre choisi par Renault, mais ce n'est pas démontré pour tous les pays ni pour les ouvriers. Même logique ailleurs : l'objectif Net Zero des usines a été repoussé après 2035, et la cible de matières recyclées a été abaissée de 33 à 30 %.</w:t>
      </w:r>
    </w:p>
    <w:p>
      <w:pPr>
        <w:pStyle w:val="Heading1"/>
      </w:pPr>
      <w:r>
        <w:t>II.2 – GRI et Stellantis</w:t>
      </w:r>
    </w:p>
    <w:p>
      <w:pPr>
        <w:pStyle w:val="Heading2"/>
      </w:pPr>
      <w:r>
        <w:t>Slide 15 – Normes GRI et comparaison avec Stellantis</w:t>
      </w:r>
    </w:p>
    <w:p>
      <w:r>
        <w:rPr>
          <w:b/>
        </w:rPr>
        <w:t>Orateur :</w:t>
      </w:r>
      <w:r>
        <w:t xml:space="preserve"> Matheo PICARD   ·   </w:t>
      </w:r>
      <w:r>
        <w:rPr>
          <w:b/>
        </w:rPr>
        <w:t>Temps indicatif :</w:t>
      </w:r>
      <w:r>
        <w:t xml:space="preserve"> 1:00   ·   </w:t>
      </w:r>
      <w:r>
        <w:rPr>
          <w:b/>
        </w:rPr>
        <w:t>Partie :</w:t>
      </w:r>
      <w:r>
        <w:t xml:space="preserve"> II.2 – GRI et Stellantis</w:t>
      </w:r>
    </w:p>
    <w:p>
      <w:r>
        <w:t>Pour comparer, on a d'abord cherché un standard GRI propre à l'automobile. Il n'en existe pas : la GRI a publié des standards sectoriels pour le pétrole, le charbon, l'agriculture et les mines, mais pas pour l'automobile. On a donc utilisé les standards thématiques, comme le 305 pour les émissions ou le 405 pour la diversité. Renault les couvre bien, sauf pour la chaîne d'approvisionnement. Face à Stellantis, le bilan est partagé. Renault fait mieux sur la part de voitures électriques en Europe : 11 % contre 8 %. Stellantis fait mieux sur les droits humains dans les batteries, avec 42 sur 90 contre 27, et sur la part de femmes dans le leadership. Les deux groupes partagent enfin les mêmes zones grises : le dieselgate et l'amende sur le recyclage.</w:t>
      </w:r>
    </w:p>
    <w:p>
      <w:pPr>
        <w:pStyle w:val="Heading1"/>
      </w:pPr>
      <w:r>
        <w:t>Conclusion</w:t>
      </w:r>
    </w:p>
    <w:p>
      <w:pPr>
        <w:pStyle w:val="Heading2"/>
      </w:pPr>
      <w:r>
        <w:t>Slide 16 – Conclusion : un leader… sous contrainte</w:t>
      </w:r>
    </w:p>
    <w:p>
      <w:r>
        <w:rPr>
          <w:b/>
        </w:rPr>
        <w:t>Orateur :</w:t>
      </w:r>
      <w:r>
        <w:t xml:space="preserve"> Matheo PICARD   ·   </w:t>
      </w:r>
      <w:r>
        <w:rPr>
          <w:b/>
        </w:rPr>
        <w:t>Temps indicatif :</w:t>
      </w:r>
      <w:r>
        <w:t xml:space="preserve"> 0:50   ·   </w:t>
      </w:r>
      <w:r>
        <w:rPr>
          <w:b/>
        </w:rPr>
        <w:t>Partie :</w:t>
      </w:r>
      <w:r>
        <w:t xml:space="preserve"> Conclusion</w:t>
      </w:r>
    </w:p>
    <w:p>
      <w:r>
        <w:t>Pour conclure, notre bilan est nuancé. Renault a un vrai dispositif RSE : un reporting transparent, une gouvernance impliquée, des émissions en baisse de 38 % et une électrification réelle en Europe. Mais l'écart entre le discours et les faits reste net : des cibles déjà dépassées, des objectifs repoussés, un lobbying contre les règles CO2 et une chaîne des batteries mal maîtrisée. Notre réponse : la RSE de Renault produit des résultats surtout là où la loi et l'intérêt économique vont dans le même sens. Et si la loi recule, avec le 2035 assoupli et la CSRD allégée, la RSE de Renault continuera-t-elle d'avancer ?</w:t>
      </w:r>
    </w:p>
    <w:p>
      <w:r>
        <w:rPr>
          <w:i/>
        </w:rPr>
        <w:t>Transition → Nicolas va conclure notre présentation.</w:t>
      </w:r>
    </w:p>
    <w:p>
      <w:pPr>
        <w:pStyle w:val="Heading1"/>
      </w:pPr>
      <w:r>
        <w:t>Sources</w:t>
      </w:r>
    </w:p>
    <w:p>
      <w:pPr>
        <w:pStyle w:val="Heading2"/>
      </w:pPr>
      <w:r>
        <w:t>Slide 17 – Principales sources</w:t>
      </w:r>
    </w:p>
    <w:p>
      <w:r>
        <w:rPr>
          <w:b/>
        </w:rPr>
        <w:t>Orateur :</w:t>
      </w:r>
      <w:r>
        <w:t xml:space="preserve"> Nicolas BINAND   ·   </w:t>
      </w:r>
      <w:r>
        <w:rPr>
          <w:b/>
        </w:rPr>
        <w:t>Temps indicatif :</w:t>
      </w:r>
      <w:r>
        <w:t xml:space="preserve"> 0:15   ·   </w:t>
      </w:r>
      <w:r>
        <w:rPr>
          <w:b/>
        </w:rPr>
        <w:t>Partie :</w:t>
      </w:r>
      <w:r>
        <w:t xml:space="preserve"> Sources</w:t>
      </w:r>
    </w:p>
    <w:p>
      <w:r>
        <w:t>Toutes nos sources sont détaillées dans le rapport écrit : le DEU 2025 et les quatre chartes, complétés par la presse, les ONG et les décisions de justice. Merci de votre attention, nous sommes prêts pour vos questions. Et si vous souhaitez approfondir un point, le rapport contient tous les tableaux détaillés en annexe.</w:t>
      </w:r>
    </w:p>
    <w:p>
      <w:r>
        <w:br w:type="page"/>
      </w:r>
    </w:p>
    <w:p>
      <w:pPr>
        <w:pStyle w:val="Heading1"/>
      </w:pPr>
      <w:r>
        <w:t>Questions probables du jury</w:t>
      </w:r>
    </w:p>
    <w:p>
      <w:pPr>
        <w:keepNext/>
      </w:pPr>
      <w:r>
        <w:rPr>
          <w:b/>
        </w:rPr>
        <w:t>Q. Renault fait-il du greenwashing ?</w:t>
      </w:r>
    </w:p>
    <w:p>
      <w:r>
        <w:t>Pas au sens d'une fausse information : le DEU est audité et reconnaît ses limites. Mais il y a un décalage de mise en avant. La communication valorise l'électrique et la Refactory, alors que 69 % des ventes mondiales restent thermiques sans électrification. Et l'amende de 81 M€ de 2025 porte justement sur une entente pour ne pas valoriser le recyclé. On parlerait donc plutôt de communication sélective.</w:t>
      </w:r>
    </w:p>
    <w:p>
      <w:pPr>
        <w:keepNext/>
      </w:pPr>
      <w:r>
        <w:rPr>
          <w:b/>
        </w:rPr>
        <w:t>Q. Quelle est la place des hybrides et du thermique dans les ventes ?</w:t>
      </w:r>
    </w:p>
    <w:p>
      <w:r>
        <w:t>Au niveau mondial en 2025 : 33 % essence, 18 % diesel, 13 % GPL, 5 % flexfuel, 20 % hybrides, 1 % hybrides rechargeables et 10 % électriques (DEU p. 125). En Europe, 44,9 % des ventes sont électrifiées. Les hybrides sont un outil de conformité CO2 : selon l'ICCT, 29 % des ventes du pool Renault dans l'UE en 2025.</w:t>
      </w:r>
    </w:p>
    <w:p>
      <w:pPr>
        <w:keepNext/>
      </w:pPr>
      <w:r>
        <w:rPr>
          <w:b/>
        </w:rPr>
        <w:t>Q. Qu'en est-il des conditions d'extraction des métaux des batteries ?</w:t>
      </w:r>
    </w:p>
    <w:p>
      <w:r>
        <w:t>C'est le point faible. La politique cobalt date de 2019, le rang N est délégué aux fournisseurs de rang 1 et la politique de diligence raisonnable batteries est « en construction ». Renault a adhéré à RMI, à la Global Battery Alliance et à IRMA, et a signé des accords (nickel Terrafame, lithium géothermique bas carbone avec Arverne). Mais Amnesty lui donne 27/90 en 2024, contre 42 pour Stellantis.</w:t>
      </w:r>
    </w:p>
    <w:p>
      <w:pPr>
        <w:keepNext/>
      </w:pPr>
      <w:r>
        <w:rPr>
          <w:b/>
        </w:rPr>
        <w:t>Q. Renault est-il meilleur que Stellantis ?</w:t>
      </w:r>
    </w:p>
    <w:p>
      <w:r>
        <w:t>Ça dépend du critère. Renault est meilleur sur l'électrification en Europe (11 % de VE contre 8 %), sur des objectifs absolus fondés sur 2019 et sur la certification ISO 37001. Stellantis est meilleur sur la diligence raisonnable des minerais (Amnesty 42 contre 27), sur la part de femmes dans le leadership et sur la certification ISO 50001. Les deux sont concernés par le dieselgate et par l'entente sur le recyclage.</w:t>
      </w:r>
    </w:p>
    <w:p>
      <w:pPr>
        <w:keepNext/>
      </w:pPr>
      <w:r>
        <w:rPr>
          <w:b/>
        </w:rPr>
        <w:t>Q. Pourquoi ne pas donner les notes MSCI ou CDP ?</w:t>
      </w:r>
    </w:p>
    <w:p>
      <w:r>
        <w:t>Parce qu'on n'a pas pu les vérifier sur les sites des agences, et qu'on a préféré écrire « à vérifier » plutôt que de donner un chiffre non sourcé. On a en revanche des évaluations vérifiées : InfluenceMap D+, Amnesty 27/90, et l'indice CAC 40 ESG depuis 2023.</w:t>
      </w:r>
    </w:p>
    <w:p>
      <w:pPr>
        <w:keepNext/>
      </w:pPr>
      <w:r>
        <w:rPr>
          <w:b/>
        </w:rPr>
        <w:t>Q. L'objectif d'égalité salariale est-il atteint ?</w:t>
      </w:r>
    </w:p>
    <w:p>
      <w:r>
        <w:t>Oui sur le périmètre retenu par Renault : écart de 0,8 % en faveur des femmes, mesuré sur les cols blancs et les postes comparables. Non démontré pour tous les pays ni pour les ouvriers, alors que la charte parlait de « tous les pays ». L'indicateur ESRS standard donne un autre chiffre (−7,6 %).</w:t>
      </w:r>
    </w:p>
    <w:p>
      <w:pPr>
        <w:keepNext/>
      </w:pPr>
      <w:r>
        <w:rPr>
          <w:b/>
        </w:rPr>
        <w:t>Q. Le dieselgate est-il jugé ?</w:t>
      </w:r>
    </w:p>
    <w:p>
      <w:r>
        <w:t>Non. Renault a été renvoyé devant le tribunal correctionnel de Paris par une ordonnance du 24 juillet 2026, et l'audience de fixation du procès est prévue le 1er avril 2027. Le groupe conteste et reste présumé innocent. En revanche, l'amende de 81,46 M€ pour l'entente sur le recyclage est définitive.</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s="Calibri" w:eastAsia="Calibri"/>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B0852F"/>
      </w:pBdr>
      <w:spacing w:before="360" w:after="160"/>
      <w:jc w:val="left"/>
      <w:outlineLvl w:val="0"/>
    </w:pPr>
    <w:rPr>
      <w:rFonts w:ascii="Calibri" w:hAnsi="Calibri" w:cs="Calibri" w:eastAsia="Calibri"/>
      <w:b/>
      <w:bCs/>
      <w:i w:val="0"/>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Calibri" w:hAnsi="Calibri" w:cs="Calibri" w:eastAsia="Calibri"/>
      <w:b/>
      <w:bCs/>
      <w:i w:val="0"/>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Calibri" w:hAnsi="Calibri" w:cs="Calibri" w:eastAsia="Calibri"/>
      <w:b/>
      <w:bCs/>
      <w:i w:val="0"/>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Calibri" w:hAnsi="Calibri" w:cs="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60"/>
      <w:jc w:val="left"/>
    </w:pPr>
    <w:rPr>
      <w:rFonts w:ascii="Calibri" w:hAnsi="Calibri" w:cs="Calibri" w:eastAsia="Calibri"/>
      <w:b/>
      <w:bCs/>
      <w:i w:val="0"/>
      <w:color w:val="1A1A1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200"/>
      <w:jc w:val="left"/>
    </w:pPr>
    <w:rPr>
      <w:rFonts w:ascii="Calibri" w:hAnsi="Calibri" w:cs="Calibri" w:eastAsia="Calibri"/>
      <w:b w:val="0"/>
      <w:i/>
      <w:color w:val="595959"/>
      <w:sz w:val="18"/>
    </w:rPr>
  </w:style>
  <w:style w:type="paragraph" w:customStyle="1" w:styleId="TableText">
    <w:name w:val="Table Text"/>
    <w:basedOn w:val="Normal"/>
    <w:pPr>
      <w:spacing w:after="0" w:line="240" w:lineRule="auto"/>
      <w:jc w:val="left"/>
    </w:pPr>
    <w:rPr>
      <w:rFonts w:ascii="Calibri" w:hAnsi="Calibri" w:cs="Calibri" w:eastAsia="Calibri"/>
      <w:sz w:val="18"/>
    </w:rPr>
  </w:style>
  <w:style w:type="paragraph" w:customStyle="1" w:styleId="FootnoteText">
    <w:name w:val="Footnote Text"/>
    <w:basedOn w:val="Normal"/>
    <w:pPr>
      <w:spacing w:after="0" w:line="240" w:lineRule="auto"/>
      <w:jc w:val="left"/>
    </w:pPr>
    <w:rPr>
      <w:rFonts w:ascii="Calibri" w:hAnsi="Calibri" w:cs="Calibri" w:eastAsia="Calibri"/>
      <w:sz w:val="17"/>
    </w:rPr>
  </w:style>
  <w:style w:type="character" w:customStyle="1" w:styleId="FootnoteReference">
    <w:name w:val="Footnote Reference"/>
    <w:rPr>
      <w:vertAlign w:val="superscript"/>
    </w:rPr>
  </w:style>
  <w:style w:type="paragraph" w:customStyle="1" w:styleId="TOC1">
    <w:name w:val="TOC 1"/>
    <w:basedOn w:val="Normal"/>
    <w:pPr>
      <w:tabs>
        <w:tab w:pos="9071" w:val="right" w:leader="dot"/>
      </w:tabs>
      <w:spacing w:after="80" w:before="120"/>
      <w:ind w:left="0"/>
      <w:jc w:val="left"/>
    </w:pPr>
    <w:rPr>
      <w:rFonts w:ascii="Calibri" w:hAnsi="Calibri" w:cs="Calibri" w:eastAsia="Calibri"/>
      <w:b/>
      <w:sz w:val="22"/>
    </w:rPr>
  </w:style>
  <w:style w:type="paragraph" w:customStyle="1" w:styleId="TOC2">
    <w:name w:val="TOC 2"/>
    <w:basedOn w:val="Normal"/>
    <w:pPr>
      <w:tabs>
        <w:tab w:pos="9071" w:val="right" w:leader="dot"/>
      </w:tabs>
      <w:spacing w:after="40" w:before="0"/>
      <w:ind w:left="340"/>
      <w:jc w:val="left"/>
    </w:pPr>
    <w:rPr>
      <w:rFonts w:ascii="Calibri" w:hAnsi="Calibri" w:cs="Calibri" w:eastAsia="Calibri"/>
      <w:b w:val="0"/>
      <w:sz w:val="21"/>
    </w:rPr>
  </w:style>
  <w:style w:type="paragraph" w:customStyle="1" w:styleId="TOC3">
    <w:name w:val="TOC 3"/>
    <w:basedOn w:val="Normal"/>
    <w:pPr>
      <w:tabs>
        <w:tab w:pos="9071" w:val="right" w:leader="dot"/>
      </w:tabs>
      <w:spacing w:after="40" w:before="0"/>
      <w:ind w:left="680"/>
      <w:jc w:val="left"/>
    </w:pPr>
    <w:rPr>
      <w:rFonts w:ascii="Calibri" w:hAnsi="Calibri" w:cs="Calibri" w:eastAsia="Calibri"/>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de la politique RSE de Renault Group</dc:title>
  <dc:subject/>
  <dc:creator>N. Binand, D. Bazain, M. Jaen, M. Picard</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