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4e498e" w14:textId="f4e498e">
      <w:pPr>
        <w:jc w:val="center"/>
        <w15:collapsed w:val="false"/>
        <w:rPr>
          <w:sz w:val="19"/>
        </w:rPr>
      </w:pPr>
      <w:r>
        <w:t/>
      </w:r>
      <w:r>
        <w:rPr>
          <w:rFonts/>
          <w:b w:val="true"/>
          <w:sz w:val="19"/>
        </w:rPr>
        <w:t xml:space="preserve">ISCED-97 composition by arrival cohort and naturalization, Women, 2007-2015 (no upper age limit)|nat_isced_f_unres</w:t>
      </w:r>
    </w:p>
    <w:tbl>
      <w:tblPr>
        <w:tblStyle w:val="TableGrid"/>
        <w:jc w:val="center"/>
        <w:tblBorders>
          <w:top w:val="none" w:color="000000" w:shadow="false"/>
          <w:left w:val="none" w:color="000000" w:shadow="false"/>
          <w:bottom w:val="none" w:color="000000" w:shadow="false"/>
          <w:right w:val="none" w:color="000000" w:shadow="false"/>
          <w:insideH w:val="none" w:color="000000" w:shadow="false"/>
          <w:insideV w:val="none" w:color="000000" w:shadow="false"/>
        </w:tblBorders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W w:w="1170" w:type="dxa"/>
            <w:tcBorders>
              <w:top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Arrival cohort</w:t>
            </w: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thick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170" w:type="dxa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1964-73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1974-83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1984-93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1994-03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2004-10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Total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N</w:t>
            </w:r>
          </w:p>
        </w:tc>
      </w:tr>
      <w:tr>
        <w:tc>
          <w:tcPr>
            <w:tcW w:w="1170" w:type="dxa"/>
            <w:tcBorders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170" w:type="dxa"/>
            <w:tcBorders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ISCED-97, non-naturalized immigrant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0-2</w:t>
            </w:r>
          </w:p>
        </w:tc>
        <w:tc>
          <w:p>
            <w:pPr>
              <w:spacing w:after="0"/>
              <w:jc w:val="right"/>
            </w:pPr>
            <w:r>
              <w:t xml:space="preserve">69.5</w:t>
            </w:r>
          </w:p>
        </w:tc>
        <w:tc>
          <w:p>
            <w:pPr>
              <w:spacing w:after="0"/>
              <w:jc w:val="right"/>
            </w:pPr>
            <w:r>
              <w:t xml:space="preserve">65.1</w:t>
            </w:r>
          </w:p>
        </w:tc>
        <w:tc>
          <w:p>
            <w:pPr>
              <w:spacing w:after="0"/>
              <w:jc w:val="right"/>
            </w:pPr>
            <w:r>
              <w:t xml:space="preserve">55.6</w:t>
            </w:r>
          </w:p>
        </w:tc>
        <w:tc>
          <w:p>
            <w:pPr>
              <w:spacing w:after="0"/>
              <w:jc w:val="right"/>
            </w:pPr>
            <w:r>
              <w:t xml:space="preserve">40.2</w:t>
            </w:r>
          </w:p>
        </w:tc>
        <w:tc>
          <w:p>
            <w:pPr>
              <w:spacing w:after="0"/>
              <w:jc w:val="right"/>
            </w:pPr>
            <w:r>
              <w:t xml:space="preserve">30.2</w:t>
            </w:r>
          </w:p>
        </w:tc>
        <w:tc>
          <w:p>
            <w:pPr>
              <w:spacing w:after="0"/>
              <w:jc w:val="right"/>
            </w:pPr>
            <w:r>
              <w:t xml:space="preserve">47.2</w:t>
            </w:r>
          </w:p>
        </w:tc>
        <w:tc>
          <w:p>
            <w:pPr>
              <w:spacing w:after="0"/>
              <w:jc w:val="right"/>
            </w:pPr>
            <w:r>
              <w:t xml:space="preserve">37,139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3-4</w:t>
            </w:r>
          </w:p>
        </w:tc>
        <w:tc>
          <w:p>
            <w:pPr>
              <w:spacing w:after="0"/>
              <w:jc w:val="right"/>
            </w:pPr>
            <w:r>
              <w:t xml:space="preserve">24.8</w:t>
            </w:r>
          </w:p>
        </w:tc>
        <w:tc>
          <w:p>
            <w:pPr>
              <w:spacing w:after="0"/>
              <w:jc w:val="right"/>
            </w:pPr>
            <w:r>
              <w:t xml:space="preserve">23.7</w:t>
            </w:r>
          </w:p>
        </w:tc>
        <w:tc>
          <w:p>
            <w:pPr>
              <w:spacing w:after="0"/>
              <w:jc w:val="right"/>
            </w:pPr>
            <w:r>
              <w:t xml:space="preserve">29.7</w:t>
            </w:r>
          </w:p>
        </w:tc>
        <w:tc>
          <w:p>
            <w:pPr>
              <w:spacing w:after="0"/>
              <w:jc w:val="right"/>
            </w:pPr>
            <w:r>
              <w:t xml:space="preserve">32.7</w:t>
            </w:r>
          </w:p>
        </w:tc>
        <w:tc>
          <w:p>
            <w:pPr>
              <w:spacing w:after="0"/>
              <w:jc w:val="right"/>
            </w:pPr>
            <w:r>
              <w:t xml:space="preserve">32.4</w:t>
            </w:r>
          </w:p>
        </w:tc>
        <w:tc>
          <w:p>
            <w:pPr>
              <w:spacing w:after="0"/>
              <w:jc w:val="right"/>
            </w:pPr>
            <w:r>
              <w:t xml:space="preserve">30.1</w:t>
            </w:r>
          </w:p>
        </w:tc>
        <w:tc>
          <w:p>
            <w:pPr>
              <w:spacing w:after="0"/>
              <w:jc w:val="right"/>
            </w:pPr>
            <w:r>
              <w:t xml:space="preserve">23,786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5-6</w:t>
            </w:r>
          </w:p>
        </w:tc>
        <w:tc>
          <w:p>
            <w:pPr>
              <w:spacing w:after="0"/>
              <w:jc w:val="right"/>
            </w:pPr>
            <w:r>
              <w:t xml:space="preserve">5.7</w:t>
            </w:r>
          </w:p>
        </w:tc>
        <w:tc>
          <w:p>
            <w:pPr>
              <w:spacing w:after="0"/>
              <w:jc w:val="right"/>
            </w:pPr>
            <w:r>
              <w:t xml:space="preserve">11.2</w:t>
            </w:r>
          </w:p>
        </w:tc>
        <w:tc>
          <w:p>
            <w:pPr>
              <w:spacing w:after="0"/>
              <w:jc w:val="right"/>
            </w:pPr>
            <w:r>
              <w:t xml:space="preserve">14.7</w:t>
            </w:r>
          </w:p>
        </w:tc>
        <w:tc>
          <w:p>
            <w:pPr>
              <w:spacing w:after="0"/>
              <w:jc w:val="right"/>
            </w:pPr>
            <w:r>
              <w:t xml:space="preserve">27.1</w:t>
            </w:r>
          </w:p>
        </w:tc>
        <w:tc>
          <w:p>
            <w:pPr>
              <w:spacing w:after="0"/>
              <w:jc w:val="right"/>
            </w:pPr>
            <w:r>
              <w:t xml:space="preserve">37.5</w:t>
            </w:r>
          </w:p>
        </w:tc>
        <w:tc>
          <w:p>
            <w:pPr>
              <w:spacing w:after="0"/>
              <w:jc w:val="right"/>
            </w:pPr>
            <w:r>
              <w:t xml:space="preserve">22.6</w:t>
            </w:r>
          </w:p>
        </w:tc>
        <w:tc>
          <w:p>
            <w:pPr>
              <w:spacing w:after="0"/>
              <w:jc w:val="right"/>
            </w:pPr>
            <w:r>
              <w:t xml:space="preserve">17,522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78,447</w:t>
            </w:r>
          </w:p>
        </w:tc>
      </w:tr>
      <w:tr>
        <w:tc>
          <w:tcPr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N</w:t>
            </w:r>
          </w:p>
        </w:tc>
        <w:tc>
          <w:tcPr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10,119</w:t>
            </w:r>
          </w:p>
        </w:tc>
        <w:tc>
          <w:tcPr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8,068</w:t>
            </w:r>
          </w:p>
        </w:tc>
        <w:tc>
          <w:tcPr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15,429</w:t>
            </w:r>
          </w:p>
        </w:tc>
        <w:tc>
          <w:tcPr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27,736</w:t>
            </w:r>
          </w:p>
        </w:tc>
        <w:tc>
          <w:tcPr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17,095</w:t>
            </w:r>
          </w:p>
        </w:tc>
        <w:tc>
          <w:tcPr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78,447</w:t>
            </w:r>
          </w:p>
        </w:tc>
        <w:tc>
          <w:tcPr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ISCED-97, naturalized immigrant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0-2</w:t>
            </w:r>
          </w:p>
        </w:tc>
        <w:tc>
          <w:p>
            <w:pPr>
              <w:spacing w:after="0"/>
              <w:jc w:val="right"/>
            </w:pPr>
            <w:r>
              <w:t xml:space="preserve">45.3</w:t>
            </w:r>
          </w:p>
        </w:tc>
        <w:tc>
          <w:p>
            <w:pPr>
              <w:spacing w:after="0"/>
              <w:jc w:val="right"/>
            </w:pPr>
            <w:r>
              <w:t xml:space="preserve">34.9</w:t>
            </w:r>
          </w:p>
        </w:tc>
        <w:tc>
          <w:p>
            <w:pPr>
              <w:spacing w:after="0"/>
              <w:jc w:val="right"/>
            </w:pPr>
            <w:r>
              <w:t xml:space="preserve">32.0</w:t>
            </w:r>
          </w:p>
        </w:tc>
        <w:tc>
          <w:p>
            <w:pPr>
              <w:spacing w:after="0"/>
              <w:jc w:val="right"/>
            </w:pPr>
            <w:r>
              <w:t xml:space="preserve">34.1</w:t>
            </w:r>
          </w:p>
        </w:tc>
        <w:tc>
          <w:p>
            <w:pPr>
              <w:spacing w:after="0"/>
              <w:jc w:val="right"/>
            </w:pPr>
            <w:r>
              <w:t xml:space="preserve">33.7</w:t>
            </w:r>
          </w:p>
        </w:tc>
        <w:tc>
          <w:p>
            <w:pPr>
              <w:spacing w:after="0"/>
              <w:jc w:val="right"/>
            </w:pPr>
            <w:r>
              <w:t xml:space="preserve">33.8</w:t>
            </w:r>
          </w:p>
        </w:tc>
        <w:tc>
          <w:p>
            <w:pPr>
              <w:spacing w:after="0"/>
              <w:jc w:val="right"/>
            </w:pPr>
            <w:r>
              <w:t xml:space="preserve">9,508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3-4</w:t>
            </w:r>
          </w:p>
        </w:tc>
        <w:tc>
          <w:p>
            <w:pPr>
              <w:spacing w:after="0"/>
              <w:jc w:val="right"/>
            </w:pPr>
            <w:r>
              <w:t xml:space="preserve">35.8</w:t>
            </w:r>
          </w:p>
        </w:tc>
        <w:tc>
          <w:p>
            <w:pPr>
              <w:spacing w:after="0"/>
              <w:jc w:val="right"/>
            </w:pPr>
            <w:r>
              <w:t xml:space="preserve">45.6</w:t>
            </w:r>
          </w:p>
        </w:tc>
        <w:tc>
          <w:p>
            <w:pPr>
              <w:spacing w:after="0"/>
              <w:jc w:val="right"/>
            </w:pPr>
            <w:r>
              <w:t xml:space="preserve">50.5</w:t>
            </w:r>
          </w:p>
        </w:tc>
        <w:tc>
          <w:p>
            <w:pPr>
              <w:spacing w:after="0"/>
              <w:jc w:val="right"/>
            </w:pPr>
            <w:r>
              <w:t xml:space="preserve">46.9</w:t>
            </w:r>
          </w:p>
        </w:tc>
        <w:tc>
          <w:p>
            <w:pPr>
              <w:spacing w:after="0"/>
              <w:jc w:val="right"/>
            </w:pPr>
            <w:r>
              <w:t xml:space="preserve">46.4</w:t>
            </w:r>
          </w:p>
        </w:tc>
        <w:tc>
          <w:p>
            <w:pPr>
              <w:spacing w:after="0"/>
              <w:jc w:val="right"/>
            </w:pPr>
            <w:r>
              <w:t xml:space="preserve">47.8</w:t>
            </w:r>
          </w:p>
        </w:tc>
        <w:tc>
          <w:p>
            <w:pPr>
              <w:spacing w:after="0"/>
              <w:jc w:val="right"/>
            </w:pPr>
            <w:r>
              <w:t xml:space="preserve">13,367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5-6</w:t>
            </w:r>
          </w:p>
        </w:tc>
        <w:tc>
          <w:p>
            <w:pPr>
              <w:spacing w:after="0"/>
              <w:jc w:val="right"/>
            </w:pPr>
            <w:r>
              <w:t xml:space="preserve">18.9</w:t>
            </w:r>
          </w:p>
        </w:tc>
        <w:tc>
          <w:p>
            <w:pPr>
              <w:spacing w:after="0"/>
              <w:jc w:val="right"/>
            </w:pPr>
            <w:r>
              <w:t xml:space="preserve">19.6</w:t>
            </w:r>
          </w:p>
        </w:tc>
        <w:tc>
          <w:p>
            <w:pPr>
              <w:spacing w:after="0"/>
              <w:jc w:val="right"/>
            </w:pPr>
            <w:r>
              <w:t xml:space="preserve">17.5</w:t>
            </w:r>
          </w:p>
        </w:tc>
        <w:tc>
          <w:p>
            <w:pPr>
              <w:spacing w:after="0"/>
              <w:jc w:val="right"/>
            </w:pPr>
            <w:r>
              <w:t xml:space="preserve">19.0</w:t>
            </w:r>
          </w:p>
        </w:tc>
        <w:tc>
          <w:p>
            <w:pPr>
              <w:spacing w:after="0"/>
              <w:jc w:val="right"/>
            </w:pPr>
            <w:r>
              <w:t xml:space="preserve">20.0</w:t>
            </w:r>
          </w:p>
        </w:tc>
        <w:tc>
          <w:p>
            <w:pPr>
              <w:spacing w:after="0"/>
              <w:jc w:val="right"/>
            </w:pPr>
            <w:r>
              <w:t xml:space="preserve">18.4</w:t>
            </w:r>
          </w:p>
        </w:tc>
        <w:tc>
          <w:p>
            <w:pPr>
              <w:spacing w:after="0"/>
              <w:jc w:val="right"/>
            </w:pPr>
            <w:r>
              <w:t xml:space="preserve">5,140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28,015</w:t>
            </w:r>
          </w:p>
        </w:tc>
      </w:tr>
      <w:tr>
        <w:tc>
          <w:tcPr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N</w:t>
            </w:r>
          </w:p>
        </w:tc>
        <w:tc>
          <w:tcPr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1,432</w:t>
            </w:r>
          </w:p>
        </w:tc>
        <w:tc>
          <w:tcPr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3,000</w:t>
            </w:r>
          </w:p>
        </w:tc>
        <w:tc>
          <w:tcPr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12,572</w:t>
            </w:r>
          </w:p>
        </w:tc>
        <w:tc>
          <w:tcPr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10,143</w:t>
            </w:r>
          </w:p>
        </w:tc>
        <w:tc>
          <w:tcPr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868</w:t>
            </w:r>
          </w:p>
        </w:tc>
        <w:tc>
          <w:tcPr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28,015</w:t>
            </w:r>
          </w:p>
        </w:tc>
        <w:tc>
          <w:tcPr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ISCED-97, naturalized/recognized Ethnic German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0-2</w:t>
            </w:r>
          </w:p>
        </w:tc>
        <w:tc>
          <w:p>
            <w:pPr>
              <w:spacing w:after="0"/>
              <w:jc w:val="right"/>
            </w:pPr>
            <w:r>
              <w:t xml:space="preserve">43.0</w:t>
            </w:r>
          </w:p>
        </w:tc>
        <w:tc>
          <w:p>
            <w:pPr>
              <w:spacing w:after="0"/>
              <w:jc w:val="right"/>
            </w:pPr>
            <w:r>
              <w:t xml:space="preserve">36.6</w:t>
            </w:r>
          </w:p>
        </w:tc>
        <w:tc>
          <w:p>
            <w:pPr>
              <w:spacing w:after="0"/>
              <w:jc w:val="right"/>
            </w:pPr>
            <w:r>
              <w:t xml:space="preserve">32.5</w:t>
            </w:r>
          </w:p>
        </w:tc>
        <w:tc>
          <w:p>
            <w:pPr>
              <w:spacing w:after="0"/>
              <w:jc w:val="right"/>
            </w:pPr>
            <w:r>
              <w:t xml:space="preserve">31.6</w:t>
            </w:r>
          </w:p>
        </w:tc>
        <w:tc>
          <w:p>
            <w:pPr>
              <w:spacing w:after="0"/>
              <w:jc w:val="right"/>
            </w:pPr>
            <w:r>
              <w:t xml:space="preserve">29.7</w:t>
            </w:r>
          </w:p>
        </w:tc>
        <w:tc>
          <w:p>
            <w:pPr>
              <w:spacing w:after="0"/>
              <w:jc w:val="right"/>
            </w:pPr>
            <w:r>
              <w:t xml:space="preserve">33.3</w:t>
            </w:r>
          </w:p>
        </w:tc>
        <w:tc>
          <w:p>
            <w:pPr>
              <w:spacing w:after="0"/>
              <w:jc w:val="right"/>
            </w:pPr>
            <w:r>
              <w:t xml:space="preserve">12,917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3-4</w:t>
            </w:r>
          </w:p>
        </w:tc>
        <w:tc>
          <w:p>
            <w:pPr>
              <w:spacing w:after="0"/>
              <w:jc w:val="right"/>
            </w:pPr>
            <w:r>
              <w:t xml:space="preserve">40.8</w:t>
            </w:r>
          </w:p>
        </w:tc>
        <w:tc>
          <w:p>
            <w:pPr>
              <w:spacing w:after="0"/>
              <w:jc w:val="right"/>
            </w:pPr>
            <w:r>
              <w:t xml:space="preserve">42.4</w:t>
            </w:r>
          </w:p>
        </w:tc>
        <w:tc>
          <w:p>
            <w:pPr>
              <w:spacing w:after="0"/>
              <w:jc w:val="right"/>
            </w:pPr>
            <w:r>
              <w:t xml:space="preserve">47.8</w:t>
            </w:r>
          </w:p>
        </w:tc>
        <w:tc>
          <w:p>
            <w:pPr>
              <w:spacing w:after="0"/>
              <w:jc w:val="right"/>
            </w:pPr>
            <w:r>
              <w:t xml:space="preserve">43.7</w:t>
            </w:r>
          </w:p>
        </w:tc>
        <w:tc>
          <w:p>
            <w:pPr>
              <w:spacing w:after="0"/>
              <w:jc w:val="right"/>
            </w:pPr>
            <w:r>
              <w:t xml:space="preserve">39.3</w:t>
            </w:r>
          </w:p>
        </w:tc>
        <w:tc>
          <w:p>
            <w:pPr>
              <w:spacing w:after="0"/>
              <w:jc w:val="right"/>
            </w:pPr>
            <w:r>
              <w:t xml:space="preserve">44.7</w:t>
            </w:r>
          </w:p>
        </w:tc>
        <w:tc>
          <w:p>
            <w:pPr>
              <w:spacing w:after="0"/>
              <w:jc w:val="right"/>
            </w:pPr>
            <w:r>
              <w:t xml:space="preserve">17,275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5-6</w:t>
            </w:r>
          </w:p>
        </w:tc>
        <w:tc>
          <w:p>
            <w:pPr>
              <w:spacing w:after="0"/>
              <w:jc w:val="right"/>
            </w:pPr>
            <w:r>
              <w:t xml:space="preserve">16.2</w:t>
            </w:r>
          </w:p>
        </w:tc>
        <w:tc>
          <w:p>
            <w:pPr>
              <w:spacing w:after="0"/>
              <w:jc w:val="right"/>
            </w:pPr>
            <w:r>
              <w:t xml:space="preserve">21.1</w:t>
            </w:r>
          </w:p>
        </w:tc>
        <w:tc>
          <w:p>
            <w:pPr>
              <w:spacing w:after="0"/>
              <w:jc w:val="right"/>
            </w:pPr>
            <w:r>
              <w:t xml:space="preserve">19.7</w:t>
            </w:r>
          </w:p>
        </w:tc>
        <w:tc>
          <w:p>
            <w:pPr>
              <w:spacing w:after="0"/>
              <w:jc w:val="right"/>
            </w:pPr>
            <w:r>
              <w:t xml:space="preserve">24.7</w:t>
            </w:r>
          </w:p>
        </w:tc>
        <w:tc>
          <w:p>
            <w:pPr>
              <w:spacing w:after="0"/>
              <w:jc w:val="right"/>
            </w:pPr>
            <w:r>
              <w:t xml:space="preserve">30.9</w:t>
            </w:r>
          </w:p>
        </w:tc>
        <w:tc>
          <w:p>
            <w:pPr>
              <w:spacing w:after="0"/>
              <w:jc w:val="right"/>
            </w:pPr>
            <w:r>
              <w:t xml:space="preserve">22.0</w:t>
            </w:r>
          </w:p>
        </w:tc>
        <w:tc>
          <w:p>
            <w:pPr>
              <w:spacing w:after="0"/>
              <w:jc w:val="right"/>
            </w:pPr>
            <w:r>
              <w:t xml:space="preserve">8,495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38,687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t xml:space="preserve">N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3,099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4,555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15,279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13,834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1,920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38,687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