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9233d5" w14:textId="79233d5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Educational levels (ISCED-97) by cohort and arrival age groups, Women (duration of stay 1-6)|sum_isced_arrage_f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337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Excluded by age restriction 25-54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(n=4,979)</w:t>
            </w:r>
          </w:p>
        </w:tc>
        <w:tc>
          <w:p>
            <w:pPr>
              <w:spacing w:after="0"/>
              <w:jc w:val="right"/>
            </w:pPr>
            <w:r>
              <w:t xml:space="preserve">72.6</w:t>
            </w:r>
          </w:p>
        </w:tc>
        <w:tc>
          <w:p>
            <w:pPr>
              <w:spacing w:after="0"/>
              <w:jc w:val="right"/>
            </w:pPr>
            <w:r>
              <w:t xml:space="preserve">62.5</w:t>
            </w:r>
          </w:p>
        </w:tc>
        <w:tc>
          <w:p>
            <w:pPr>
              <w:spacing w:after="0"/>
              <w:jc w:val="right"/>
            </w:pPr>
            <w:r>
              <w:t xml:space="preserve">54.6</w:t>
            </w:r>
          </w:p>
        </w:tc>
        <w:tc>
          <w:p>
            <w:pPr>
              <w:spacing w:after="0"/>
              <w:jc w:val="right"/>
            </w:pPr>
            <w:r>
              <w:t xml:space="preserve">41.4</w:t>
            </w:r>
          </w:p>
        </w:tc>
        <w:tc>
          <w:p>
            <w:pPr>
              <w:spacing w:after="0"/>
              <w:jc w:val="right"/>
            </w:pPr>
            <w:r>
              <w:t xml:space="preserve">34.9</w:t>
            </w:r>
          </w:p>
        </w:tc>
        <w:tc>
          <w:p>
            <w:pPr>
              <w:spacing w:after="0"/>
              <w:jc w:val="right"/>
            </w:pPr>
            <w:r>
              <w:t xml:space="preserve">45.1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(n=3,121)</w:t>
            </w:r>
          </w:p>
        </w:tc>
        <w:tc>
          <w:p>
            <w:pPr>
              <w:spacing w:after="0"/>
              <w:jc w:val="right"/>
            </w:pPr>
            <w:r>
              <w:t xml:space="preserve">23.6</w:t>
            </w:r>
          </w:p>
        </w:tc>
        <w:tc>
          <w:p>
            <w:pPr>
              <w:spacing w:after="0"/>
              <w:jc w:val="right"/>
            </w:pPr>
            <w:r>
              <w:t xml:space="preserve">26.1</w:t>
            </w:r>
          </w:p>
        </w:tc>
        <w:tc>
          <w:p>
            <w:pPr>
              <w:spacing w:after="0"/>
              <w:jc w:val="right"/>
            </w:pPr>
            <w:r>
              <w:t xml:space="preserve">31.9</w:t>
            </w:r>
          </w:p>
        </w:tc>
        <w:tc>
          <w:p>
            <w:pPr>
              <w:spacing w:after="0"/>
              <w:jc w:val="right"/>
            </w:pPr>
            <w:r>
              <w:t xml:space="preserve">29.7</w:t>
            </w:r>
          </w:p>
        </w:tc>
        <w:tc>
          <w:p>
            <w:pPr>
              <w:spacing w:after="0"/>
              <w:jc w:val="right"/>
            </w:pPr>
            <w:r>
              <w:t xml:space="preserve">25.3</w:t>
            </w:r>
          </w:p>
        </w:tc>
        <w:tc>
          <w:p>
            <w:pPr>
              <w:spacing w:after="0"/>
              <w:jc w:val="right"/>
            </w:pPr>
            <w:r>
              <w:t xml:space="preserve">28.5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(n=2,585)</w:t>
            </w:r>
          </w:p>
        </w:tc>
        <w:tc>
          <w:p>
            <w:pPr>
              <w:spacing w:after="0"/>
              <w:jc w:val="right"/>
            </w:pPr>
            <w:r>
              <w:t xml:space="preserve">3.8</w:t>
            </w:r>
          </w:p>
        </w:tc>
        <w:tc>
          <w:p>
            <w:pPr>
              <w:spacing w:after="0"/>
              <w:jc w:val="right"/>
            </w:pPr>
            <w:r>
              <w:t xml:space="preserve">11.4</w:t>
            </w:r>
          </w:p>
        </w:tc>
        <w:tc>
          <w:p>
            <w:pPr>
              <w:spacing w:after="0"/>
              <w:jc w:val="right"/>
            </w:pPr>
            <w:r>
              <w:t xml:space="preserve">13.5</w:t>
            </w:r>
          </w:p>
        </w:tc>
        <w:tc>
          <w:p>
            <w:pPr>
              <w:spacing w:after="0"/>
              <w:jc w:val="right"/>
            </w:pPr>
            <w:r>
              <w:t xml:space="preserve">28.9</w:t>
            </w:r>
          </w:p>
        </w:tc>
        <w:tc>
          <w:p>
            <w:pPr>
              <w:spacing w:after="0"/>
              <w:jc w:val="right"/>
            </w:pPr>
            <w:r>
              <w:t xml:space="preserve">39.8</w:t>
            </w:r>
          </w:p>
        </w:tc>
        <w:tc>
          <w:p>
            <w:pPr>
              <w:spacing w:after="0"/>
              <w:jc w:val="right"/>
            </w:pPr>
            <w:r>
              <w:t xml:space="preserve">26.4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(n=10,685)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Included by age restriction 25-54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(n=13,091)</w:t>
            </w:r>
          </w:p>
        </w:tc>
        <w:tc>
          <w:p>
            <w:pPr>
              <w:spacing w:after="0"/>
              <w:jc w:val="right"/>
            </w:pPr>
            <w:r>
              <w:t xml:space="preserve">73.6</w:t>
            </w:r>
          </w:p>
        </w:tc>
        <w:tc>
          <w:p>
            <w:pPr>
              <w:spacing w:after="0"/>
              <w:jc w:val="right"/>
            </w:pPr>
            <w:r>
              <w:t xml:space="preserve">59.1</w:t>
            </w:r>
          </w:p>
        </w:tc>
        <w:tc>
          <w:p>
            <w:pPr>
              <w:spacing w:after="0"/>
              <w:jc w:val="right"/>
            </w:pPr>
            <w:r>
              <w:t xml:space="preserve">44.3</w:t>
            </w:r>
          </w:p>
        </w:tc>
        <w:tc>
          <w:p>
            <w:pPr>
              <w:spacing w:after="0"/>
              <w:jc w:val="right"/>
            </w:pPr>
            <w:r>
              <w:t xml:space="preserve">35.9</w:t>
            </w:r>
          </w:p>
        </w:tc>
        <w:tc>
          <w:p>
            <w:pPr>
              <w:spacing w:after="0"/>
              <w:jc w:val="right"/>
            </w:pPr>
            <w:r>
              <w:t xml:space="preserve">28.0</w:t>
            </w:r>
          </w:p>
        </w:tc>
        <w:tc>
          <w:p>
            <w:pPr>
              <w:spacing w:after="0"/>
              <w:jc w:val="right"/>
            </w:pPr>
            <w:r>
              <w:t xml:space="preserve">37.8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(n=10,492)</w:t>
            </w:r>
          </w:p>
        </w:tc>
        <w:tc>
          <w:p>
            <w:pPr>
              <w:spacing w:after="0"/>
              <w:jc w:val="right"/>
            </w:pPr>
            <w:r>
              <w:t xml:space="preserve">20.9</w:t>
            </w:r>
          </w:p>
        </w:tc>
        <w:tc>
          <w:p>
            <w:pPr>
              <w:spacing w:after="0"/>
              <w:jc w:val="right"/>
            </w:pPr>
            <w:r>
              <w:t xml:space="preserve">23.4</w:t>
            </w:r>
          </w:p>
        </w:tc>
        <w:tc>
          <w:p>
            <w:pPr>
              <w:spacing w:after="0"/>
              <w:jc w:val="right"/>
            </w:pPr>
            <w:r>
              <w:t xml:space="preserve">32.0</w:t>
            </w:r>
          </w:p>
        </w:tc>
        <w:tc>
          <w:p>
            <w:pPr>
              <w:spacing w:after="0"/>
              <w:jc w:val="right"/>
            </w:pPr>
            <w:r>
              <w:t xml:space="preserve">33.3</w:t>
            </w:r>
          </w:p>
        </w:tc>
        <w:tc>
          <w:p>
            <w:pPr>
              <w:spacing w:after="0"/>
              <w:jc w:val="right"/>
            </w:pPr>
            <w:r>
              <w:t xml:space="preserve">31.6</w:t>
            </w:r>
          </w:p>
        </w:tc>
        <w:tc>
          <w:p>
            <w:pPr>
              <w:spacing w:after="0"/>
              <w:jc w:val="right"/>
            </w:pPr>
            <w:r>
              <w:t xml:space="preserve">31.4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(n=9,946)</w:t>
            </w:r>
          </w:p>
        </w:tc>
        <w:tc>
          <w:p>
            <w:pPr>
              <w:spacing w:after="0"/>
              <w:jc w:val="right"/>
            </w:pPr>
            <w:r>
              <w:t xml:space="preserve">5.5</w:t>
            </w:r>
          </w:p>
        </w:tc>
        <w:tc>
          <w:p>
            <w:pPr>
              <w:spacing w:after="0"/>
              <w:jc w:val="right"/>
            </w:pPr>
            <w:r>
              <w:t xml:space="preserve">17.5</w:t>
            </w:r>
          </w:p>
        </w:tc>
        <w:tc>
          <w:p>
            <w:pPr>
              <w:spacing w:after="0"/>
              <w:jc w:val="right"/>
            </w:pPr>
            <w:r>
              <w:t xml:space="preserve">23.7</w:t>
            </w:r>
          </w:p>
        </w:tc>
        <w:tc>
          <w:p>
            <w:pPr>
              <w:spacing w:after="0"/>
              <w:jc w:val="right"/>
            </w:pPr>
            <w:r>
              <w:t xml:space="preserve">30.8</w:t>
            </w:r>
          </w:p>
        </w:tc>
        <w:tc>
          <w:p>
            <w:pPr>
              <w:spacing w:after="0"/>
              <w:jc w:val="right"/>
            </w:pPr>
            <w:r>
              <w:t xml:space="preserve">40.4</w:t>
            </w:r>
          </w:p>
        </w:tc>
        <w:tc>
          <w:p>
            <w:pPr>
              <w:spacing w:after="0"/>
              <w:jc w:val="right"/>
            </w:pPr>
            <w:r>
              <w:t xml:space="preserve">30.8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(n=33,529)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hMerge w:val="restart"/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sz w:val="12"/>
              </w:rPr>
              <w:t xml:space="preserve">Column percent.</w:t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