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6542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5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4C81"/>
          <w:sz w:val="48"/>
        </w:rPr>
        <w:t>Informe Técnico-Financiero</w:t>
        <w:br/>
        <w:t>Gobernanza y Gasto TIC</w:t>
      </w:r>
    </w:p>
    <w:p>
      <w:pPr>
        <w:jc w:val="center"/>
      </w:pPr>
      <w:r>
        <w:rPr>
          <w:b/>
          <w:color w:val="2A2A2A"/>
          <w:sz w:val="32"/>
        </w:rPr>
        <w:t>Representación IICA Chile</w:t>
      </w:r>
    </w:p>
    <w:p/>
    <w:p>
      <w:pPr>
        <w:jc w:val="center"/>
      </w:pPr>
      <w:r>
        <w:rPr>
          <w:sz w:val="22"/>
        </w:rPr>
        <w:t>Horizonte presupuestario: 12 meses</w:t>
        <w:br/>
        <w:t>Moneda: Peso chileno (CLP)</w:t>
        <w:br/>
        <w:t>Audiencia objetivo: Dirección y Finanzas</w:t>
      </w:r>
    </w:p>
    <w:p/>
    <w:p>
      <w:pPr>
        <w:jc w:val="center"/>
      </w:pPr>
      <w:r>
        <w:rPr>
          <w:i/>
          <w:sz w:val="22"/>
        </w:rPr>
        <w:t>Santiago de Chile, 27-05-2026</w:t>
      </w:r>
    </w:p>
    <w:p>
      <w:r>
        <w:br w:type="page"/>
      </w:r>
    </w:p>
    <w:p>
      <w:pPr>
        <w:pStyle w:val="Heading1"/>
        <w:jc w:val="left"/>
      </w:pPr>
      <w:r>
        <w:rPr>
          <w:color w:val="0F4C81"/>
        </w:rPr>
        <w:t>1. Resumen ejecutivo</w:t>
      </w:r>
    </w:p>
    <w:p>
      <w:r>
        <w:t>Este informe propone una infraestructura de gobernanza de datos y de control del gasto TIC para la Representación IICA Chile, orientada a sostener la operación de plataformas digitales, reducir riesgo operacional y habilitar decisiones presupuestarias basadas en evidencia.</w:t>
      </w:r>
    </w:p>
    <w:p>
      <w:pPr>
        <w:pStyle w:val="ListBullet"/>
      </w:pPr>
      <w:r>
        <w:rPr>
          <w:sz w:val="22"/>
        </w:rPr>
        <w:t>Decisión 1: aprobar presupuesto TIC anual centralizado con control mensual y umbrales de escalamiento.</w:t>
      </w:r>
    </w:p>
    <w:p>
      <w:pPr>
        <w:pStyle w:val="ListBullet"/>
      </w:pPr>
      <w:r>
        <w:rPr>
          <w:sz w:val="22"/>
        </w:rPr>
        <w:t>Decisión 2: crear un Departamento de Gobernanza y Transformacion Digital (DGTD) con mandato formal sobre datos, IA, arquitectura y control de cartera.</w:t>
      </w:r>
    </w:p>
    <w:p>
      <w:pPr>
        <w:pStyle w:val="ListBullet"/>
      </w:pPr>
      <w:r>
        <w:rPr>
          <w:sz w:val="22"/>
        </w:rPr>
        <w:t>Decisión 3: implementar práctica FinOps con reporting mensual en CLP y revisión de desvíos.</w:t>
      </w:r>
    </w:p>
    <w:p>
      <w:pPr>
        <w:pStyle w:val="ListBullet"/>
      </w:pPr>
      <w:r>
        <w:rPr>
          <w:sz w:val="22"/>
        </w:rPr>
        <w:t>Monto referencial anual recomendado (escenario base operativo): CLP 12.660.000.</w:t>
      </w:r>
    </w:p>
    <w:p>
      <w:pPr>
        <w:pStyle w:val="Heading1"/>
        <w:jc w:val="left"/>
      </w:pPr>
      <w:r>
        <w:rPr>
          <w:color w:val="0F4C81"/>
        </w:rPr>
        <w:t>2. Objetivo, alcance y criterios de éxito</w:t>
      </w:r>
    </w:p>
    <w:p>
      <w:r>
        <w:t>El alcance considera un modelo por capas: (i) núcleo de plataformas y datos de proyectos digitales en curso, (ii) operación y gobierno TIC, y (iii) capa transversal TIC opcional para servicios institucionales comunes.</w:t>
      </w:r>
    </w:p>
    <w:p>
      <w:pPr>
        <w:pStyle w:val="ListBullet"/>
      </w:pPr>
      <w:r>
        <w:rPr>
          <w:sz w:val="22"/>
        </w:rPr>
        <w:t>Horizonte: 12 meses.</w:t>
      </w:r>
    </w:p>
    <w:p>
      <w:pPr>
        <w:pStyle w:val="ListBullet"/>
      </w:pPr>
      <w:r>
        <w:rPr>
          <w:sz w:val="22"/>
        </w:rPr>
        <w:t>Moneda de gobierno: CLP.</w:t>
      </w:r>
    </w:p>
    <w:p>
      <w:pPr>
        <w:pStyle w:val="ListBullet"/>
      </w:pPr>
      <w:r>
        <w:rPr>
          <w:sz w:val="22"/>
        </w:rPr>
        <w:t>Audiencia principal: Dirección y Finanzas.</w:t>
      </w:r>
    </w:p>
    <w:p>
      <w:pPr>
        <w:pStyle w:val="ListBullet"/>
      </w:pPr>
      <w:r>
        <w:rPr>
          <w:sz w:val="22"/>
        </w:rPr>
        <w:t>Criterio de éxito: aprobación de presupuesto, comité de gobernanza y mecanismo de control operativo mensual.</w:t>
      </w:r>
    </w:p>
    <w:p>
      <w:pPr>
        <w:pStyle w:val="Heading1"/>
        <w:jc w:val="left"/>
      </w:pPr>
      <w:r>
        <w:rPr>
          <w:color w:val="0F4C81"/>
        </w:rPr>
        <w:t>3. Estado operacional actual (as-is)</w:t>
      </w:r>
    </w:p>
    <w:p>
      <w:r>
        <w:t>La plataforma opera sobre una arquitectura web con Next.js, base de datos y servicios gestionados en Supabase, consumo de IA con Gemini y ejecución de automatizaciones mediante GitHub Actions. El repositorio evidencia una cadencia operativa diaria y semanal para ingesta y descubrimiento de información.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Proceso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Evidencia interna</w:t>
            </w:r>
          </w:p>
        </w:tc>
      </w:tr>
      <w:tr>
        <w:tc>
          <w:tcPr>
            <w:tcW w:type="dxa" w:w="2340"/>
          </w:tcPr>
          <w:p>
            <w:r>
              <w:t>Ingesta de scrapers</w:t>
            </w:r>
          </w:p>
        </w:tc>
        <w:tc>
          <w:tcPr>
            <w:tcW w:type="dxa" w:w="2340"/>
          </w:tcPr>
          <w:p>
            <w:r>
              <w:t>Diaria (03:00 Chile)</w:t>
            </w:r>
          </w:p>
        </w:tc>
        <w:tc>
          <w:tcPr>
            <w:tcW w:type="dxa" w:w="2340"/>
          </w:tcPr>
          <w:p>
            <w:r>
              <w:t>Actualizar base de oportunidades y marcar obsolescencia</w:t>
            </w:r>
          </w:p>
        </w:tc>
        <w:tc>
          <w:tcPr>
            <w:tcW w:type="dxa" w:w="2340"/>
          </w:tcPr>
          <w:p>
            <w:r>
              <w:t>.github/workflows/ingest-scrapers.yml</w:t>
            </w:r>
          </w:p>
        </w:tc>
      </w:tr>
      <w:tr>
        <w:tc>
          <w:tcPr>
            <w:tcW w:type="dxa" w:w="2340"/>
          </w:tcPr>
          <w:p>
            <w:r>
              <w:t>AI Discovery</w:t>
            </w:r>
          </w:p>
        </w:tc>
        <w:tc>
          <w:tcPr>
            <w:tcW w:type="dxa" w:w="2340"/>
          </w:tcPr>
          <w:p>
            <w:r>
              <w:t>Semanal (lunes)</w:t>
            </w:r>
          </w:p>
        </w:tc>
        <w:tc>
          <w:tcPr>
            <w:tcW w:type="dxa" w:w="2340"/>
          </w:tcPr>
          <w:p>
            <w:r>
              <w:t>Descubrimiento asistido con guardrails de validación</w:t>
            </w:r>
          </w:p>
        </w:tc>
        <w:tc>
          <w:tcPr>
            <w:tcW w:type="dxa" w:w="2340"/>
          </w:tcPr>
          <w:p>
            <w:r>
              <w:t>.github/workflows/discover-projects.yml</w:t>
            </w:r>
          </w:p>
        </w:tc>
      </w:tr>
      <w:tr>
        <w:tc>
          <w:tcPr>
            <w:tcW w:type="dxa" w:w="2340"/>
          </w:tcPr>
          <w:p>
            <w:r>
              <w:t>Backfill embeddings</w:t>
            </w:r>
          </w:p>
        </w:tc>
        <w:tc>
          <w:tcPr>
            <w:tcW w:type="dxa" w:w="2340"/>
          </w:tcPr>
          <w:p>
            <w:r>
              <w:t>Operación periódica</w:t>
            </w:r>
          </w:p>
        </w:tc>
        <w:tc>
          <w:tcPr>
            <w:tcW w:type="dxa" w:w="2340"/>
          </w:tcPr>
          <w:p>
            <w:r>
              <w:t>Completar vectorización para búsqueda semántica</w:t>
            </w:r>
          </w:p>
        </w:tc>
        <w:tc>
          <w:tcPr>
            <w:tcW w:type="dxa" w:w="2340"/>
          </w:tcPr>
          <w:p>
            <w:r>
              <w:t>scripts/backfill-embeddings.ts</w:t>
            </w:r>
          </w:p>
        </w:tc>
      </w:tr>
    </w:tbl>
    <w:p>
      <w:pPr>
        <w:pStyle w:val="Heading1"/>
        <w:jc w:val="left"/>
      </w:pPr>
      <w:r>
        <w:rPr>
          <w:color w:val="0F4C81"/>
        </w:rPr>
        <w:t>4. Modelo de gobernanza de datos y TIC</w:t>
      </w:r>
    </w:p>
    <w:p>
      <w:r>
        <w:t>Se recomienda evolucionar desde un esquema basado solo en comites a una capacidad institucional permanente: un Departamento de Gobernanza y Transformacion Digital (DGTD) con atribuciones formales, comites de apoyo y un sistema de control de costo-riesgo-valor. El diseño se alinea con ISO/IEC 38500:2024 y practicas FinOps.</w:t>
      </w:r>
    </w:p>
    <w:p>
      <w:pPr>
        <w:pStyle w:val="Heading2"/>
      </w:pPr>
      <w:r>
        <w:rPr>
          <w:color w:val="1E6195"/>
        </w:rPr>
        <w:t>4.1 Modelo institucional propuesto: DGTD</w:t>
      </w:r>
    </w:p>
    <w:p>
      <w:r>
        <w:t>El DGTD se propone como unidad liviana pero con responsabilidad end-to-end sobre portafolio digital, gobernanza de datos, control FinOps y gestion de riesgo tecnologico. Los comites dejan de ser la estructura principal y pasan a ser instancias de validacion y escalamiento.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Estructura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Mandato principal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Dotacion referencial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Dependencia</w:t>
            </w:r>
          </w:p>
        </w:tc>
      </w:tr>
      <w:tr>
        <w:tc>
          <w:tcPr>
            <w:tcW w:type="dxa" w:w="1872"/>
          </w:tcPr>
          <w:p>
            <w:r>
              <w:t>Estrategico</w:t>
            </w:r>
          </w:p>
        </w:tc>
        <w:tc>
          <w:tcPr>
            <w:tcW w:type="dxa" w:w="1872"/>
          </w:tcPr>
          <w:p>
            <w:r>
              <w:t>Jefatura DGTD</w:t>
            </w:r>
          </w:p>
        </w:tc>
        <w:tc>
          <w:tcPr>
            <w:tcW w:type="dxa" w:w="1872"/>
          </w:tcPr>
          <w:p>
            <w:r>
              <w:t>Define estrategia digital anual, metas de costo/valor y criterios de priorizacion institucional</w:t>
            </w:r>
          </w:p>
        </w:tc>
        <w:tc>
          <w:tcPr>
            <w:tcW w:type="dxa" w:w="1872"/>
          </w:tcPr>
          <w:p>
            <w:r>
              <w:t>1 jefatura</w:t>
            </w:r>
          </w:p>
        </w:tc>
        <w:tc>
          <w:tcPr>
            <w:tcW w:type="dxa" w:w="1872"/>
          </w:tcPr>
          <w:p>
            <w:r>
              <w:t>Direccion de Representacion</w:t>
            </w:r>
          </w:p>
        </w:tc>
      </w:tr>
      <w:tr>
        <w:tc>
          <w:tcPr>
            <w:tcW w:type="dxa" w:w="1872"/>
          </w:tcPr>
          <w:p>
            <w:r>
              <w:t>Tactico</w:t>
            </w:r>
          </w:p>
        </w:tc>
        <w:tc>
          <w:tcPr>
            <w:tcW w:type="dxa" w:w="1872"/>
          </w:tcPr>
          <w:p>
            <w:r>
              <w:t>Unidad FinOps y Portafolio</w:t>
            </w:r>
          </w:p>
        </w:tc>
        <w:tc>
          <w:tcPr>
            <w:tcW w:type="dxa" w:w="1872"/>
          </w:tcPr>
          <w:p>
            <w:r>
              <w:t>Consolida presupuesto TIC, opera showback, forecast trimestral y oficina de proyectos digitales (PMO)</w:t>
            </w:r>
          </w:p>
        </w:tc>
        <w:tc>
          <w:tcPr>
            <w:tcW w:type="dxa" w:w="1872"/>
          </w:tcPr>
          <w:p>
            <w:r>
              <w:t>2 analistas</w:t>
            </w:r>
          </w:p>
        </w:tc>
        <w:tc>
          <w:tcPr>
            <w:tcW w:type="dxa" w:w="1872"/>
          </w:tcPr>
          <w:p>
            <w:r>
              <w:t>DGTD</w:t>
            </w:r>
          </w:p>
        </w:tc>
      </w:tr>
      <w:tr>
        <w:tc>
          <w:tcPr>
            <w:tcW w:type="dxa" w:w="1872"/>
          </w:tcPr>
          <w:p>
            <w:r>
              <w:t>Tactico</w:t>
            </w:r>
          </w:p>
        </w:tc>
        <w:tc>
          <w:tcPr>
            <w:tcW w:type="dxa" w:w="1872"/>
          </w:tcPr>
          <w:p>
            <w:r>
              <w:t>Unidad Arquitectura, Datos e IA Responsable</w:t>
            </w:r>
          </w:p>
        </w:tc>
        <w:tc>
          <w:tcPr>
            <w:tcW w:type="dxa" w:w="1872"/>
          </w:tcPr>
          <w:p>
            <w:r>
              <w:t>Administra politicas de datos/IA, controles de acceso, trazabilidad, continuidad y estandares de arquitectura</w:t>
            </w:r>
          </w:p>
        </w:tc>
        <w:tc>
          <w:tcPr>
            <w:tcW w:type="dxa" w:w="1872"/>
          </w:tcPr>
          <w:p>
            <w:r>
              <w:t>2 especialistas</w:t>
            </w:r>
          </w:p>
        </w:tc>
        <w:tc>
          <w:tcPr>
            <w:tcW w:type="dxa" w:w="1872"/>
          </w:tcPr>
          <w:p>
            <w:r>
              <w:t>DGTD</w:t>
            </w:r>
          </w:p>
        </w:tc>
      </w:tr>
      <w:tr>
        <w:tc>
          <w:tcPr>
            <w:tcW w:type="dxa" w:w="1872"/>
          </w:tcPr>
          <w:p>
            <w:r>
              <w:t>Operacion</w:t>
            </w:r>
          </w:p>
        </w:tc>
        <w:tc>
          <w:tcPr>
            <w:tcW w:type="dxa" w:w="1872"/>
          </w:tcPr>
          <w:p>
            <w:r>
              <w:t>Enlaces TIC por area</w:t>
            </w:r>
          </w:p>
        </w:tc>
        <w:tc>
          <w:tcPr>
            <w:tcW w:type="dxa" w:w="1872"/>
          </w:tcPr>
          <w:p>
            <w:r>
              <w:t>Canalizan demanda, validan beneficios, levantan riesgos y aseguran adopcion de practicas</w:t>
            </w:r>
          </w:p>
        </w:tc>
        <w:tc>
          <w:tcPr>
            <w:tcW w:type="dxa" w:w="1872"/>
          </w:tcPr>
          <w:p>
            <w:r>
              <w:t>0.2 FTE por area</w:t>
            </w:r>
          </w:p>
        </w:tc>
        <w:tc>
          <w:tcPr>
            <w:tcW w:type="dxa" w:w="1872"/>
          </w:tcPr>
          <w:p>
            <w:r>
              <w:t>Area funcional + DGTD</w:t>
            </w:r>
          </w:p>
        </w:tc>
      </w:tr>
    </w:tbl>
    <w:p>
      <w:pPr>
        <w:pStyle w:val="Heading2"/>
      </w:pPr>
      <w:r>
        <w:rPr>
          <w:color w:val="1E6195"/>
        </w:rPr>
        <w:t>4.2 Comites de apoyo (segunda linea de decision)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Instancia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Proposito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Cadencia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2340"/>
          </w:tcPr>
          <w:p>
            <w:r>
              <w:t>Consejo Directivo TIC-Finanzas</w:t>
            </w:r>
          </w:p>
        </w:tc>
        <w:tc>
          <w:tcPr>
            <w:tcW w:type="dxa" w:w="2340"/>
          </w:tcPr>
          <w:p>
            <w:r>
              <w:t>Aprobar decisiones de alto impacto (presupuesto, priorizacion, riesgos criticos)</w:t>
            </w:r>
          </w:p>
        </w:tc>
        <w:tc>
          <w:tcPr>
            <w:tcW w:type="dxa" w:w="2340"/>
          </w:tcPr>
          <w:p>
            <w:r>
              <w:t>Mensual</w:t>
            </w:r>
          </w:p>
        </w:tc>
        <w:tc>
          <w:tcPr>
            <w:tcW w:type="dxa" w:w="2340"/>
          </w:tcPr>
          <w:p>
            <w:r>
              <w:t>Acta con decisiones estrategicas y responsables</w:t>
            </w:r>
          </w:p>
        </w:tc>
      </w:tr>
      <w:tr>
        <w:tc>
          <w:tcPr>
            <w:tcW w:type="dxa" w:w="2340"/>
          </w:tcPr>
          <w:p>
            <w:r>
              <w:t>PMO Digital Operativa</w:t>
            </w:r>
          </w:p>
        </w:tc>
        <w:tc>
          <w:tcPr>
            <w:tcW w:type="dxa" w:w="2340"/>
          </w:tcPr>
          <w:p>
            <w:r>
              <w:t>Controlar avance, hitos, gasto real y medidas de correccion</w:t>
            </w:r>
          </w:p>
        </w:tc>
        <w:tc>
          <w:tcPr>
            <w:tcW w:type="dxa" w:w="2340"/>
          </w:tcPr>
          <w:p>
            <w:r>
              <w:t>Quincenal</w:t>
            </w:r>
          </w:p>
        </w:tc>
        <w:tc>
          <w:tcPr>
            <w:tcW w:type="dxa" w:w="2340"/>
          </w:tcPr>
          <w:p>
            <w:r>
              <w:t>Backlog priorizado y plan de acciones</w:t>
            </w:r>
          </w:p>
        </w:tc>
      </w:tr>
      <w:tr>
        <w:tc>
          <w:tcPr>
            <w:tcW w:type="dxa" w:w="2340"/>
          </w:tcPr>
          <w:p>
            <w:r>
              <w:t>Mesa de Riesgo de Datos e IA</w:t>
            </w:r>
          </w:p>
        </w:tc>
        <w:tc>
          <w:tcPr>
            <w:tcW w:type="dxa" w:w="2340"/>
          </w:tcPr>
          <w:p>
            <w:r>
              <w:t>Evaluar casos de uso IA, cumplimiento y excepciones de datos</w:t>
            </w:r>
          </w:p>
        </w:tc>
        <w:tc>
          <w:tcPr>
            <w:tcW w:type="dxa" w:w="2340"/>
          </w:tcPr>
          <w:p>
            <w:r>
              <w:t>Mensual</w:t>
            </w:r>
          </w:p>
        </w:tc>
        <w:tc>
          <w:tcPr>
            <w:tcW w:type="dxa" w:w="2340"/>
          </w:tcPr>
          <w:p>
            <w:r>
              <w:t>Registro de riesgos, excepciones y mitigaciones</w:t>
            </w:r>
          </w:p>
        </w:tc>
      </w:tr>
    </w:tbl>
    <w:p>
      <w:pPr>
        <w:pStyle w:val="Heading2"/>
      </w:pPr>
      <w:r>
        <w:rPr>
          <w:color w:val="1E6195"/>
        </w:rPr>
        <w:t>4.3 Modelo de decisiones y RACI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 (Accountable)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 (Responsible)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 (Consulted)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 (Informed)</w:t>
            </w:r>
          </w:p>
        </w:tc>
      </w:tr>
      <w:tr>
        <w:tc>
          <w:tcPr>
            <w:tcW w:type="dxa" w:w="1872"/>
          </w:tcPr>
          <w:p>
            <w:r>
              <w:t>Presupuesto TIC anual y reforecast trimestral</w:t>
            </w:r>
          </w:p>
        </w:tc>
        <w:tc>
          <w:tcPr>
            <w:tcW w:type="dxa" w:w="1872"/>
          </w:tcPr>
          <w:p>
            <w:r>
              <w:t>Direccion</w:t>
            </w:r>
          </w:p>
        </w:tc>
        <w:tc>
          <w:tcPr>
            <w:tcW w:type="dxa" w:w="1872"/>
          </w:tcPr>
          <w:p>
            <w:r>
              <w:t>Jefatura DGTD</w:t>
            </w:r>
          </w:p>
        </w:tc>
        <w:tc>
          <w:tcPr>
            <w:tcW w:type="dxa" w:w="1872"/>
          </w:tcPr>
          <w:p>
            <w:r>
              <w:t>Finanzas, PMO Digital</w:t>
            </w:r>
          </w:p>
        </w:tc>
        <w:tc>
          <w:tcPr>
            <w:tcW w:type="dxa" w:w="1872"/>
          </w:tcPr>
          <w:p>
            <w:r>
              <w:t>Areas usuarias</w:t>
            </w:r>
          </w:p>
        </w:tc>
      </w:tr>
      <w:tr>
        <w:tc>
          <w:tcPr>
            <w:tcW w:type="dxa" w:w="1872"/>
          </w:tcPr>
          <w:p>
            <w:r>
              <w:t>Priorizacion de iniciativas digitales</w:t>
            </w:r>
          </w:p>
        </w:tc>
        <w:tc>
          <w:tcPr>
            <w:tcW w:type="dxa" w:w="1872"/>
          </w:tcPr>
          <w:p>
            <w:r>
              <w:t>Jefatura DGTD</w:t>
            </w:r>
          </w:p>
        </w:tc>
        <w:tc>
          <w:tcPr>
            <w:tcW w:type="dxa" w:w="1872"/>
          </w:tcPr>
          <w:p>
            <w:r>
              <w:t>Unidad FinOps y Portafolio</w:t>
            </w:r>
          </w:p>
        </w:tc>
        <w:tc>
          <w:tcPr>
            <w:tcW w:type="dxa" w:w="1872"/>
          </w:tcPr>
          <w:p>
            <w:r>
              <w:t>Lideres de area</w:t>
            </w:r>
          </w:p>
        </w:tc>
        <w:tc>
          <w:tcPr>
            <w:tcW w:type="dxa" w:w="1872"/>
          </w:tcPr>
          <w:p>
            <w:r>
              <w:t>Consejo Directivo</w:t>
            </w:r>
          </w:p>
        </w:tc>
      </w:tr>
      <w:tr>
        <w:tc>
          <w:tcPr>
            <w:tcW w:type="dxa" w:w="1872"/>
          </w:tcPr>
          <w:p>
            <w:r>
              <w:t>Excepcion por sobreconsumo &gt;20%</w:t>
            </w:r>
          </w:p>
        </w:tc>
        <w:tc>
          <w:tcPr>
            <w:tcW w:type="dxa" w:w="1872"/>
          </w:tcPr>
          <w:p>
            <w:r>
              <w:t>Direccion</w:t>
            </w:r>
          </w:p>
        </w:tc>
        <w:tc>
          <w:tcPr>
            <w:tcW w:type="dxa" w:w="1872"/>
          </w:tcPr>
          <w:p>
            <w:r>
              <w:t>Jefatura DGTD</w:t>
            </w:r>
          </w:p>
        </w:tc>
        <w:tc>
          <w:tcPr>
            <w:tcW w:type="dxa" w:w="1872"/>
          </w:tcPr>
          <w:p>
            <w:r>
              <w:t>Finanzas</w:t>
            </w:r>
          </w:p>
        </w:tc>
        <w:tc>
          <w:tcPr>
            <w:tcW w:type="dxa" w:w="1872"/>
          </w:tcPr>
          <w:p>
            <w:r>
              <w:t>Consejo Directivo</w:t>
            </w:r>
          </w:p>
        </w:tc>
      </w:tr>
      <w:tr>
        <w:tc>
          <w:tcPr>
            <w:tcW w:type="dxa" w:w="1872"/>
          </w:tcPr>
          <w:p>
            <w:r>
              <w:t>Aprobacion de uso de datos sensibles en IA</w:t>
            </w:r>
          </w:p>
        </w:tc>
        <w:tc>
          <w:tcPr>
            <w:tcW w:type="dxa" w:w="1872"/>
          </w:tcPr>
          <w:p>
            <w:r>
              <w:t>Jefatura DGTD</w:t>
            </w:r>
          </w:p>
        </w:tc>
        <w:tc>
          <w:tcPr>
            <w:tcW w:type="dxa" w:w="1872"/>
          </w:tcPr>
          <w:p>
            <w:r>
              <w:t>Unidad Arquitectura, Datos e IA</w:t>
            </w:r>
          </w:p>
        </w:tc>
        <w:tc>
          <w:tcPr>
            <w:tcW w:type="dxa" w:w="1872"/>
          </w:tcPr>
          <w:p>
            <w:r>
              <w:t>Legal/Compliance</w:t>
            </w:r>
          </w:p>
        </w:tc>
        <w:tc>
          <w:tcPr>
            <w:tcW w:type="dxa" w:w="1872"/>
          </w:tcPr>
          <w:p>
            <w:r>
              <w:t>Direccion</w:t>
            </w:r>
          </w:p>
        </w:tc>
      </w:tr>
      <w:tr>
        <w:tc>
          <w:tcPr>
            <w:tcW w:type="dxa" w:w="1872"/>
          </w:tcPr>
          <w:p>
            <w:r>
              <w:t>Plan de continuidad y pruebas de recuperacion</w:t>
            </w:r>
          </w:p>
        </w:tc>
        <w:tc>
          <w:tcPr>
            <w:tcW w:type="dxa" w:w="1872"/>
          </w:tcPr>
          <w:p>
            <w:r>
              <w:t>Jefatura DGTD</w:t>
            </w:r>
          </w:p>
        </w:tc>
        <w:tc>
          <w:tcPr>
            <w:tcW w:type="dxa" w:w="1872"/>
          </w:tcPr>
          <w:p>
            <w:r>
              <w:t>Unidad Arquitectura, Datos e IA</w:t>
            </w:r>
          </w:p>
        </w:tc>
        <w:tc>
          <w:tcPr>
            <w:tcW w:type="dxa" w:w="1872"/>
          </w:tcPr>
          <w:p>
            <w:r>
              <w:t>TI operativa</w:t>
            </w:r>
          </w:p>
        </w:tc>
        <w:tc>
          <w:tcPr>
            <w:tcW w:type="dxa" w:w="1872"/>
          </w:tcPr>
          <w:p>
            <w:r>
              <w:t>Direccion y Finanzas</w:t>
            </w:r>
          </w:p>
        </w:tc>
      </w:tr>
    </w:tbl>
    <w:p>
      <w:pPr>
        <w:pStyle w:val="Heading2"/>
      </w:pPr>
      <w:r>
        <w:rPr>
          <w:color w:val="1E6195"/>
        </w:rPr>
        <w:t>4.4 Politicas minimas</w:t>
      </w:r>
    </w:p>
    <w:p>
      <w:pPr>
        <w:pStyle w:val="ListBullet"/>
      </w:pPr>
      <w:r>
        <w:rPr>
          <w:sz w:val="22"/>
        </w:rPr>
        <w:t>Clasificación de datos por criticidad y reglas de tratamiento por nivel.</w:t>
      </w:r>
    </w:p>
    <w:p>
      <w:pPr>
        <w:pStyle w:val="ListBullet"/>
      </w:pPr>
      <w:r>
        <w:rPr>
          <w:sz w:val="22"/>
        </w:rPr>
        <w:t>Control de acceso, trazabilidad y revisión periódica de privilegios.</w:t>
      </w:r>
    </w:p>
    <w:p>
      <w:pPr>
        <w:pStyle w:val="ListBullet"/>
      </w:pPr>
      <w:r>
        <w:rPr>
          <w:sz w:val="22"/>
        </w:rPr>
        <w:t>Política de uso de IA: datos permitidos/no permitidos, retención y registro de prompts críticos.</w:t>
      </w:r>
    </w:p>
    <w:p>
      <w:pPr>
        <w:pStyle w:val="ListBullet"/>
      </w:pPr>
      <w:r>
        <w:rPr>
          <w:sz w:val="22"/>
        </w:rPr>
        <w:t>Plan de continuidad: respaldo, recuperación y pruebas periódicas de restauración.</w:t>
      </w:r>
    </w:p>
    <w:p>
      <w:pPr>
        <w:pStyle w:val="ListBullet"/>
      </w:pPr>
      <w:r>
        <w:rPr>
          <w:sz w:val="22"/>
        </w:rPr>
        <w:t>Politica de arquitectura objetivo con estandares de integracion, observabilidad y seguridad por defecto.</w:t>
      </w:r>
    </w:p>
    <w:p>
      <w:pPr>
        <w:pStyle w:val="Heading1"/>
        <w:jc w:val="left"/>
      </w:pPr>
      <w:r>
        <w:rPr>
          <w:color w:val="0F4C81"/>
        </w:rPr>
        <w:t>5. Mecanismo presupuestario: Fondo TIC central</w:t>
      </w:r>
    </w:p>
    <w:p>
      <w:r>
        <w:t>Se propone un Fondo TIC central con reglas de asignación transparentes, seguimiento mensual y capacidad de corrección ante variaciones de demanda o precio.</w:t>
      </w:r>
    </w:p>
    <w:p>
      <w:pPr>
        <w:pStyle w:val="ListBullet"/>
      </w:pPr>
      <w:r>
        <w:rPr>
          <w:sz w:val="22"/>
        </w:rPr>
        <w:t>Distribución recomendada del fondo: 65% Run (operación), 20% Grow (mejora), 15% Reserva de riesgo.</w:t>
      </w:r>
    </w:p>
    <w:p>
      <w:pPr>
        <w:pStyle w:val="ListBullet"/>
      </w:pPr>
      <w:r>
        <w:rPr>
          <w:sz w:val="22"/>
        </w:rPr>
        <w:t>Modelo de imputación: costos comunes centralizados + showback mensual por proyecto/unidad.</w:t>
      </w:r>
    </w:p>
    <w:p>
      <w:pPr>
        <w:pStyle w:val="ListBullet"/>
      </w:pPr>
      <w:r>
        <w:rPr>
          <w:sz w:val="22"/>
        </w:rPr>
        <w:t>Escalamiento financiero: desvío &gt;10% revisión directiva; desvío &gt;20% plan de contención inmediato.</w:t>
      </w:r>
    </w:p>
    <w:p>
      <w:pPr>
        <w:pStyle w:val="ListBullet"/>
      </w:pPr>
      <w:r>
        <w:rPr>
          <w:sz w:val="22"/>
        </w:rPr>
        <w:t>Administracion del fondo: DGTD (ejecucion) + Finanzas (control) + Direccion (aprobacion de excepciones).</w:t>
      </w:r>
    </w:p>
    <w:p>
      <w:pPr>
        <w:pStyle w:val="Heading1"/>
        <w:jc w:val="left"/>
      </w:pPr>
      <w:r>
        <w:rPr>
          <w:color w:val="0F4C81"/>
        </w:rPr>
        <w:t>6. Costeo técnico por capas y por operación</w:t>
      </w:r>
    </w:p>
    <w:p>
      <w:r>
        <w:t>Los montos son referenciales y deben calibrarse con facturación real histórica. El objetivo es proveer un marco defendible para aprobación y seguimiento.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mensual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anual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1872"/>
          </w:tcPr>
          <w:p>
            <w:r>
              <w:t>Núcleo plataforma</w:t>
            </w:r>
          </w:p>
        </w:tc>
        <w:tc>
          <w:tcPr>
            <w:tcW w:type="dxa" w:w="1872"/>
          </w:tcPr>
          <w:p>
            <w:r>
              <w:t>Vercel (hosting/app)</w:t>
            </w:r>
          </w:p>
        </w:tc>
        <w:tc>
          <w:tcPr>
            <w:tcW w:type="dxa" w:w="1872"/>
          </w:tcPr>
          <w:p>
            <w:r>
              <w:t>CLP 210.000</w:t>
            </w:r>
          </w:p>
        </w:tc>
        <w:tc>
          <w:tcPr>
            <w:tcW w:type="dxa" w:w="1872"/>
          </w:tcPr>
          <w:p>
            <w:r>
              <w:t>CLP 2.520.000</w:t>
            </w:r>
          </w:p>
        </w:tc>
        <w:tc>
          <w:tcPr>
            <w:tcW w:type="dxa" w:w="1872"/>
          </w:tcPr>
          <w:p>
            <w:r>
              <w:t>Incluye crecimiento moderado</w:t>
            </w:r>
          </w:p>
        </w:tc>
      </w:tr>
      <w:tr>
        <w:tc>
          <w:tcPr>
            <w:tcW w:type="dxa" w:w="1872"/>
          </w:tcPr>
          <w:p>
            <w:r>
              <w:t>Núcleo plataforma</w:t>
            </w:r>
          </w:p>
        </w:tc>
        <w:tc>
          <w:tcPr>
            <w:tcW w:type="dxa" w:w="1872"/>
          </w:tcPr>
          <w:p>
            <w:r>
              <w:t>Supabase (DB/Auth/Storage)</w:t>
            </w:r>
          </w:p>
        </w:tc>
        <w:tc>
          <w:tcPr>
            <w:tcW w:type="dxa" w:w="1872"/>
          </w:tcPr>
          <w:p>
            <w:r>
              <w:t>CLP 260.000</w:t>
            </w:r>
          </w:p>
        </w:tc>
        <w:tc>
          <w:tcPr>
            <w:tcW w:type="dxa" w:w="1872"/>
          </w:tcPr>
          <w:p>
            <w:r>
              <w:t>CLP 3.120.000</w:t>
            </w:r>
          </w:p>
        </w:tc>
        <w:tc>
          <w:tcPr>
            <w:tcW w:type="dxa" w:w="1872"/>
          </w:tcPr>
          <w:p>
            <w:r>
              <w:t>Prod + staging</w:t>
            </w:r>
          </w:p>
        </w:tc>
      </w:tr>
      <w:tr>
        <w:tc>
          <w:tcPr>
            <w:tcW w:type="dxa" w:w="1872"/>
          </w:tcPr>
          <w:p>
            <w:r>
              <w:t>Núcleo plataforma</w:t>
            </w:r>
          </w:p>
        </w:tc>
        <w:tc>
          <w:tcPr>
            <w:tcW w:type="dxa" w:w="1872"/>
          </w:tcPr>
          <w:p>
            <w:r>
              <w:t>Gemini (uso IA)</w:t>
            </w:r>
          </w:p>
        </w:tc>
        <w:tc>
          <w:tcPr>
            <w:tcW w:type="dxa" w:w="1872"/>
          </w:tcPr>
          <w:p>
            <w:r>
              <w:t>CLP 90.000</w:t>
            </w:r>
          </w:p>
        </w:tc>
        <w:tc>
          <w:tcPr>
            <w:tcW w:type="dxa" w:w="1872"/>
          </w:tcPr>
          <w:p>
            <w:r>
              <w:t>CLP 1.080.000</w:t>
            </w:r>
          </w:p>
        </w:tc>
        <w:tc>
          <w:tcPr>
            <w:tcW w:type="dxa" w:w="1872"/>
          </w:tcPr>
          <w:p>
            <w:r>
              <w:t>Uso controlado por cuotas</w:t>
            </w:r>
          </w:p>
        </w:tc>
      </w:tr>
      <w:tr>
        <w:tc>
          <w:tcPr>
            <w:tcW w:type="dxa" w:w="1872"/>
          </w:tcPr>
          <w:p>
            <w:r>
              <w:t>Núcleo plataforma</w:t>
            </w:r>
          </w:p>
        </w:tc>
        <w:tc>
          <w:tcPr>
            <w:tcW w:type="dxa" w:w="1872"/>
          </w:tcPr>
          <w:p>
            <w:r>
              <w:t>GitHub Actions / CI</w:t>
            </w:r>
          </w:p>
        </w:tc>
        <w:tc>
          <w:tcPr>
            <w:tcW w:type="dxa" w:w="1872"/>
          </w:tcPr>
          <w:p>
            <w:r>
              <w:t>CLP 70.000</w:t>
            </w:r>
          </w:p>
        </w:tc>
        <w:tc>
          <w:tcPr>
            <w:tcW w:type="dxa" w:w="1872"/>
          </w:tcPr>
          <w:p>
            <w:r>
              <w:t>CLP 840.000</w:t>
            </w:r>
          </w:p>
        </w:tc>
        <w:tc>
          <w:tcPr>
            <w:tcW w:type="dxa" w:w="1872"/>
          </w:tcPr>
          <w:p>
            <w:r>
              <w:t>Pipelines + artefactos</w:t>
            </w:r>
          </w:p>
        </w:tc>
      </w:tr>
      <w:tr>
        <w:tc>
          <w:tcPr>
            <w:tcW w:type="dxa" w:w="1872"/>
          </w:tcPr>
          <w:p>
            <w:r>
              <w:t>Operación y gobierno</w:t>
            </w:r>
          </w:p>
        </w:tc>
        <w:tc>
          <w:tcPr>
            <w:tcW w:type="dxa" w:w="1872"/>
          </w:tcPr>
          <w:p>
            <w:r>
              <w:t>Observabilidad y soporte</w:t>
            </w:r>
          </w:p>
        </w:tc>
        <w:tc>
          <w:tcPr>
            <w:tcW w:type="dxa" w:w="1872"/>
          </w:tcPr>
          <w:p>
            <w:r>
              <w:t>CLP 190.000</w:t>
            </w:r>
          </w:p>
        </w:tc>
        <w:tc>
          <w:tcPr>
            <w:tcW w:type="dxa" w:w="1872"/>
          </w:tcPr>
          <w:p>
            <w:r>
              <w:t>CLP 2.280.000</w:t>
            </w:r>
          </w:p>
        </w:tc>
        <w:tc>
          <w:tcPr>
            <w:tcW w:type="dxa" w:w="1872"/>
          </w:tcPr>
          <w:p>
            <w:r>
              <w:t>Monitoreo y soporte operativo</w:t>
            </w:r>
          </w:p>
        </w:tc>
      </w:tr>
      <w:tr>
        <w:tc>
          <w:tcPr>
            <w:tcW w:type="dxa" w:w="1872"/>
          </w:tcPr>
          <w:p>
            <w:r>
              <w:t>Operación y gobierno</w:t>
            </w:r>
          </w:p>
        </w:tc>
        <w:tc>
          <w:tcPr>
            <w:tcW w:type="dxa" w:w="1872"/>
          </w:tcPr>
          <w:p>
            <w:r>
              <w:t>Seguridad y cumplimiento</w:t>
            </w:r>
          </w:p>
        </w:tc>
        <w:tc>
          <w:tcPr>
            <w:tcW w:type="dxa" w:w="1872"/>
          </w:tcPr>
          <w:p>
            <w:r>
              <w:t>CLP 140.000</w:t>
            </w:r>
          </w:p>
        </w:tc>
        <w:tc>
          <w:tcPr>
            <w:tcW w:type="dxa" w:w="1872"/>
          </w:tcPr>
          <w:p>
            <w:r>
              <w:t>CLP 1.680.000</w:t>
            </w:r>
          </w:p>
        </w:tc>
        <w:tc>
          <w:tcPr>
            <w:tcW w:type="dxa" w:w="1872"/>
          </w:tcPr>
          <w:p>
            <w:r>
              <w:t>Controles y hardening</w:t>
            </w:r>
          </w:p>
        </w:tc>
      </w:tr>
      <w:tr>
        <w:tc>
          <w:tcPr>
            <w:tcW w:type="dxa" w:w="1872"/>
          </w:tcPr>
          <w:p>
            <w:r>
              <w:t>Operación y gobierno</w:t>
            </w:r>
          </w:p>
        </w:tc>
        <w:tc>
          <w:tcPr>
            <w:tcW w:type="dxa" w:w="1872"/>
          </w:tcPr>
          <w:p>
            <w:r>
              <w:t>Reserva técnica</w:t>
            </w:r>
          </w:p>
        </w:tc>
        <w:tc>
          <w:tcPr>
            <w:tcW w:type="dxa" w:w="1872"/>
          </w:tcPr>
          <w:p>
            <w:r>
              <w:t>CLP 95.000</w:t>
            </w:r>
          </w:p>
        </w:tc>
        <w:tc>
          <w:tcPr>
            <w:tcW w:type="dxa" w:w="1872"/>
          </w:tcPr>
          <w:p>
            <w:r>
              <w:t>CLP 1.140.000</w:t>
            </w:r>
          </w:p>
        </w:tc>
        <w:tc>
          <w:tcPr>
            <w:tcW w:type="dxa" w:w="1872"/>
          </w:tcPr>
          <w:p>
            <w:r>
              <w:t>Incidentes y variaciones</w:t>
            </w:r>
          </w:p>
        </w:tc>
      </w:tr>
      <w:tr>
        <w:tc>
          <w:tcPr>
            <w:tcW w:type="dxa" w:w="1872"/>
          </w:tcPr>
          <w:p>
            <w:r>
              <w:t>Transversal opcional</w:t>
            </w:r>
          </w:p>
        </w:tc>
        <w:tc>
          <w:tcPr>
            <w:tcW w:type="dxa" w:w="1872"/>
          </w:tcPr>
          <w:p>
            <w:r>
              <w:t>Servicios TIC compartidos</w:t>
            </w:r>
          </w:p>
        </w:tc>
        <w:tc>
          <w:tcPr>
            <w:tcW w:type="dxa" w:w="1872"/>
          </w:tcPr>
          <w:p>
            <w:r>
              <w:t>CLP 420.000</w:t>
            </w:r>
          </w:p>
        </w:tc>
        <w:tc>
          <w:tcPr>
            <w:tcW w:type="dxa" w:w="1872"/>
          </w:tcPr>
          <w:p>
            <w:r>
              <w:t>CLP 5.040.000</w:t>
            </w:r>
          </w:p>
        </w:tc>
        <w:tc>
          <w:tcPr>
            <w:tcW w:type="dxa" w:w="1872"/>
          </w:tcPr>
          <w:p>
            <w:r>
              <w:t>Licencias/integraciones/soporte</w:t>
            </w:r>
          </w:p>
        </w:tc>
      </w:tr>
    </w:tbl>
    <w:p>
      <w:pPr>
        <w:pStyle w:val="Heading2"/>
      </w:pPr>
      <w:r>
        <w:rPr>
          <w:color w:val="1E6195"/>
        </w:rPr>
        <w:t>6.1 Escenarios presupuestarios (12 meses)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mensual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Costo anual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recomendado</w:t>
            </w:r>
          </w:p>
        </w:tc>
      </w:tr>
      <w:tr>
        <w:tc>
          <w:tcPr>
            <w:tcW w:type="dxa" w:w="1872"/>
          </w:tcPr>
          <w:p>
            <w:r>
              <w:t>Base operativo</w:t>
            </w:r>
          </w:p>
        </w:tc>
        <w:tc>
          <w:tcPr>
            <w:tcW w:type="dxa" w:w="1872"/>
          </w:tcPr>
          <w:p>
            <w:r>
              <w:t>Capas núcleo + operación y gobierno</w:t>
            </w:r>
          </w:p>
        </w:tc>
        <w:tc>
          <w:tcPr>
            <w:tcW w:type="dxa" w:w="1872"/>
          </w:tcPr>
          <w:p>
            <w:r>
              <w:t>CLP 1.055.000</w:t>
            </w:r>
          </w:p>
        </w:tc>
        <w:tc>
          <w:tcPr>
            <w:tcW w:type="dxa" w:w="1872"/>
          </w:tcPr>
          <w:p>
            <w:r>
              <w:t>CLP 12.660.000</w:t>
            </w:r>
          </w:p>
        </w:tc>
        <w:tc>
          <w:tcPr>
            <w:tcW w:type="dxa" w:w="1872"/>
          </w:tcPr>
          <w:p>
            <w:r>
              <w:t>Aprobación mínima inmediata</w:t>
            </w:r>
          </w:p>
        </w:tc>
      </w:tr>
      <w:tr>
        <w:tc>
          <w:tcPr>
            <w:tcW w:type="dxa" w:w="1872"/>
          </w:tcPr>
          <w:p>
            <w:r>
              <w:t>Integral</w:t>
            </w:r>
          </w:p>
        </w:tc>
        <w:tc>
          <w:tcPr>
            <w:tcW w:type="dxa" w:w="1872"/>
          </w:tcPr>
          <w:p>
            <w:r>
              <w:t>Base + 60% capa transversal</w:t>
            </w:r>
          </w:p>
        </w:tc>
        <w:tc>
          <w:tcPr>
            <w:tcW w:type="dxa" w:w="1872"/>
          </w:tcPr>
          <w:p>
            <w:r>
              <w:t>CLP 1.307.000</w:t>
            </w:r>
          </w:p>
        </w:tc>
        <w:tc>
          <w:tcPr>
            <w:tcW w:type="dxa" w:w="1872"/>
          </w:tcPr>
          <w:p>
            <w:r>
              <w:t>CLP 15.684.000</w:t>
            </w:r>
          </w:p>
        </w:tc>
        <w:tc>
          <w:tcPr>
            <w:tcW w:type="dxa" w:w="1872"/>
          </w:tcPr>
          <w:p>
            <w:r>
              <w:t>Operación institucional ampliada</w:t>
            </w:r>
          </w:p>
        </w:tc>
      </w:tr>
      <w:tr>
        <w:tc>
          <w:tcPr>
            <w:tcW w:type="dxa" w:w="1872"/>
          </w:tcPr>
          <w:p>
            <w:r>
              <w:t>Crecimiento</w:t>
            </w:r>
          </w:p>
        </w:tc>
        <w:tc>
          <w:tcPr>
            <w:tcW w:type="dxa" w:w="1872"/>
          </w:tcPr>
          <w:p>
            <w:r>
              <w:t>Base + capa transversal completa + mayor reserva</w:t>
            </w:r>
          </w:p>
        </w:tc>
        <w:tc>
          <w:tcPr>
            <w:tcW w:type="dxa" w:w="1872"/>
          </w:tcPr>
          <w:p>
            <w:r>
              <w:t>CLP 1.875.000</w:t>
            </w:r>
          </w:p>
        </w:tc>
        <w:tc>
          <w:tcPr>
            <w:tcW w:type="dxa" w:w="1872"/>
          </w:tcPr>
          <w:p>
            <w:r>
              <w:t>CLP 22.500.000</w:t>
            </w:r>
          </w:p>
        </w:tc>
        <w:tc>
          <w:tcPr>
            <w:tcW w:type="dxa" w:w="1872"/>
          </w:tcPr>
          <w:p>
            <w:r>
              <w:t>Escalamiento y nuevos proyectos</w:t>
            </w:r>
          </w:p>
        </w:tc>
      </w:tr>
    </w:tbl>
    <w:p>
      <w:pPr>
        <w:pStyle w:val="Heading1"/>
        <w:jc w:val="left"/>
      </w:pPr>
      <w:r>
        <w:rPr>
          <w:color w:val="0F4C81"/>
        </w:rPr>
        <w:t>7. Control mensual, KPIs y FinOps</w:t>
      </w:r>
    </w:p>
    <w:p>
      <w:pPr>
        <w:pStyle w:val="ListBullet"/>
      </w:pPr>
      <w:r>
        <w:rPr>
          <w:sz w:val="22"/>
        </w:rPr>
        <w:t>KPI 1: Gasto real mensual vs presupuesto aprobado (CLP y % desvío).</w:t>
      </w:r>
    </w:p>
    <w:p>
      <w:pPr>
        <w:pStyle w:val="ListBullet"/>
      </w:pPr>
      <w:r>
        <w:rPr>
          <w:sz w:val="22"/>
        </w:rPr>
        <w:t>KPI 2: Forecast de cierre trimestral de gasto TIC.</w:t>
      </w:r>
    </w:p>
    <w:p>
      <w:pPr>
        <w:pStyle w:val="ListBullet"/>
      </w:pPr>
      <w:r>
        <w:rPr>
          <w:sz w:val="22"/>
        </w:rPr>
        <w:t>KPI 3: Costo unitario por operación (ingesta, discovery, búsqueda, soporte).</w:t>
      </w:r>
    </w:p>
    <w:p>
      <w:pPr>
        <w:pStyle w:val="ListBullet"/>
      </w:pPr>
      <w:r>
        <w:rPr>
          <w:sz w:val="22"/>
        </w:rPr>
        <w:t>KPI 4: Consumo IA por caso de uso y costo por resultado útil.</w:t>
      </w:r>
    </w:p>
    <w:p>
      <w:pPr>
        <w:pStyle w:val="ListBullet"/>
      </w:pPr>
      <w:r>
        <w:rPr>
          <w:sz w:val="22"/>
        </w:rPr>
        <w:t>KPI 5: Incidentes por sobreconsumo y tiempo medio de contención.</w:t>
      </w:r>
    </w:p>
    <w:p>
      <w:pPr>
        <w:pStyle w:val="ListBullet"/>
      </w:pPr>
      <w:r>
        <w:rPr>
          <w:sz w:val="22"/>
        </w:rPr>
        <w:t>KPI 6: Porcentaje de costos asignados con trazabilidad por proyecto.</w:t>
      </w:r>
    </w:p>
    <w:p>
      <w:pPr>
        <w:pStyle w:val="Heading2"/>
      </w:pPr>
      <w:r>
        <w:rPr>
          <w:color w:val="1E6195"/>
        </w:rPr>
        <w:t>7.1 Cadencia de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Hito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Fecha objetivo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Salida esperada</w:t>
            </w:r>
          </w:p>
        </w:tc>
      </w:tr>
      <w:tr>
        <w:tc>
          <w:tcPr>
            <w:tcW w:type="dxa" w:w="2340"/>
          </w:tcPr>
          <w:p>
            <w:r>
              <w:t>Cierre TIC mensual</w:t>
            </w:r>
          </w:p>
        </w:tc>
        <w:tc>
          <w:tcPr>
            <w:tcW w:type="dxa" w:w="2340"/>
          </w:tcPr>
          <w:p>
            <w:r>
              <w:t>T+3 hábil</w:t>
            </w:r>
          </w:p>
        </w:tc>
        <w:tc>
          <w:tcPr>
            <w:tcW w:type="dxa" w:w="2340"/>
          </w:tcPr>
          <w:p>
            <w:r>
              <w:t>Finanzas + TI</w:t>
            </w:r>
          </w:p>
        </w:tc>
        <w:tc>
          <w:tcPr>
            <w:tcW w:type="dxa" w:w="2340"/>
          </w:tcPr>
          <w:p>
            <w:r>
              <w:t>Reporte consolidado de gasto real</w:t>
            </w:r>
          </w:p>
        </w:tc>
      </w:tr>
      <w:tr>
        <w:tc>
          <w:tcPr>
            <w:tcW w:type="dxa" w:w="2340"/>
          </w:tcPr>
          <w:p>
            <w:r>
              <w:t>Comité Operativo FinOps</w:t>
            </w:r>
          </w:p>
        </w:tc>
        <w:tc>
          <w:tcPr>
            <w:tcW w:type="dxa" w:w="2340"/>
          </w:tcPr>
          <w:p>
            <w:r>
              <w:t>T+5 hábil</w:t>
            </w:r>
          </w:p>
        </w:tc>
        <w:tc>
          <w:tcPr>
            <w:tcW w:type="dxa" w:w="2340"/>
          </w:tcPr>
          <w:p>
            <w:r>
              <w:t>TI + Finanzas</w:t>
            </w:r>
          </w:p>
        </w:tc>
        <w:tc>
          <w:tcPr>
            <w:tcW w:type="dxa" w:w="2340"/>
          </w:tcPr>
          <w:p>
            <w:r>
              <w:t>Plan de acciones correctivas</w:t>
            </w:r>
          </w:p>
        </w:tc>
      </w:tr>
      <w:tr>
        <w:tc>
          <w:tcPr>
            <w:tcW w:type="dxa" w:w="2340"/>
          </w:tcPr>
          <w:p>
            <w:r>
              <w:t>Comité Directivo</w:t>
            </w:r>
          </w:p>
        </w:tc>
        <w:tc>
          <w:tcPr>
            <w:tcW w:type="dxa" w:w="2340"/>
          </w:tcPr>
          <w:p>
            <w:r>
              <w:t>Mensual</w:t>
            </w:r>
          </w:p>
        </w:tc>
        <w:tc>
          <w:tcPr>
            <w:tcW w:type="dxa" w:w="2340"/>
          </w:tcPr>
          <w:p>
            <w:r>
              <w:t>Dirección</w:t>
            </w:r>
          </w:p>
        </w:tc>
        <w:tc>
          <w:tcPr>
            <w:tcW w:type="dxa" w:w="2340"/>
          </w:tcPr>
          <w:p>
            <w:r>
              <w:t>Decisiones de ajuste/priorización</w:t>
            </w:r>
          </w:p>
        </w:tc>
      </w:tr>
    </w:tbl>
    <w:p>
      <w:pPr>
        <w:pStyle w:val="Heading1"/>
        <w:jc w:val="left"/>
      </w:pPr>
      <w:r>
        <w:rPr>
          <w:color w:val="0F4C81"/>
        </w:rPr>
        <w:t>8. Riesgos críticos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Mitigación</w:t>
            </w:r>
          </w:p>
        </w:tc>
        <w:tc>
          <w:tcPr>
            <w:tcW w:type="dxa" w:w="23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340"/>
          </w:tcPr>
          <w:p>
            <w:r>
              <w:t>Sobrecosto por consumo inesperado</w:t>
            </w:r>
          </w:p>
        </w:tc>
        <w:tc>
          <w:tcPr>
            <w:tcW w:type="dxa" w:w="2340"/>
          </w:tcPr>
          <w:p>
            <w:r>
              <w:t>Alto</w:t>
            </w:r>
          </w:p>
        </w:tc>
        <w:tc>
          <w:tcPr>
            <w:tcW w:type="dxa" w:w="2340"/>
          </w:tcPr>
          <w:p>
            <w:r>
              <w:t>Alertas y límites de gasto por plataforma; playbook de contención en 24h</w:t>
            </w:r>
          </w:p>
        </w:tc>
        <w:tc>
          <w:tcPr>
            <w:tcW w:type="dxa" w:w="2340"/>
          </w:tcPr>
          <w:p>
            <w:r>
              <w:t>Unidad FinOps y Portafolio (DGTD)</w:t>
            </w:r>
          </w:p>
        </w:tc>
      </w:tr>
      <w:tr>
        <w:tc>
          <w:tcPr>
            <w:tcW w:type="dxa" w:w="2340"/>
          </w:tcPr>
          <w:p>
            <w:r>
              <w:t>Uso inadecuado de datos en IA</w:t>
            </w:r>
          </w:p>
        </w:tc>
        <w:tc>
          <w:tcPr>
            <w:tcW w:type="dxa" w:w="2340"/>
          </w:tcPr>
          <w:p>
            <w:r>
              <w:t>Alto</w:t>
            </w:r>
          </w:p>
        </w:tc>
        <w:tc>
          <w:tcPr>
            <w:tcW w:type="dxa" w:w="2340"/>
          </w:tcPr>
          <w:p>
            <w:r>
              <w:t>Política de datos para IA + controles de anonimización + revisión mensual</w:t>
            </w:r>
          </w:p>
        </w:tc>
        <w:tc>
          <w:tcPr>
            <w:tcW w:type="dxa" w:w="2340"/>
          </w:tcPr>
          <w:p>
            <w:r>
              <w:t>Unidad Arquitectura, Datos e IA (DGTD)</w:t>
            </w:r>
          </w:p>
        </w:tc>
      </w:tr>
      <w:tr>
        <w:tc>
          <w:tcPr>
            <w:tcW w:type="dxa" w:w="2340"/>
          </w:tcPr>
          <w:p>
            <w:r>
              <w:t>Opacidad de costos por proyecto</w:t>
            </w:r>
          </w:p>
        </w:tc>
        <w:tc>
          <w:tcPr>
            <w:tcW w:type="dxa" w:w="2340"/>
          </w:tcPr>
          <w:p>
            <w:r>
              <w:t>Medio</w:t>
            </w:r>
          </w:p>
        </w:tc>
        <w:tc>
          <w:tcPr>
            <w:tcW w:type="dxa" w:w="2340"/>
          </w:tcPr>
          <w:p>
            <w:r>
              <w:t>Showback mensual obligatorio y asignación por tags/centro de costo</w:t>
            </w:r>
          </w:p>
        </w:tc>
        <w:tc>
          <w:tcPr>
            <w:tcW w:type="dxa" w:w="2340"/>
          </w:tcPr>
          <w:p>
            <w:r>
              <w:t>DGTD + Finanzas</w:t>
            </w:r>
          </w:p>
        </w:tc>
      </w:tr>
      <w:tr>
        <w:tc>
          <w:tcPr>
            <w:tcW w:type="dxa" w:w="2340"/>
          </w:tcPr>
          <w:p>
            <w:r>
              <w:t>Dependencia de proveedor</w:t>
            </w:r>
          </w:p>
        </w:tc>
        <w:tc>
          <w:tcPr>
            <w:tcW w:type="dxa" w:w="2340"/>
          </w:tcPr>
          <w:p>
            <w:r>
              <w:t>Medio</w:t>
            </w:r>
          </w:p>
        </w:tc>
        <w:tc>
          <w:tcPr>
            <w:tcW w:type="dxa" w:w="2340"/>
          </w:tcPr>
          <w:p>
            <w:r>
              <w:t>Plan de portabilidad de datos y revisión semestral de arquitectura</w:t>
            </w:r>
          </w:p>
        </w:tc>
        <w:tc>
          <w:tcPr>
            <w:tcW w:type="dxa" w:w="2340"/>
          </w:tcPr>
          <w:p>
            <w:r>
              <w:t>Jefatura DGTD</w:t>
            </w:r>
          </w:p>
        </w:tc>
      </w:tr>
    </w:tbl>
    <w:p>
      <w:pPr>
        <w:pStyle w:val="Heading1"/>
        <w:jc w:val="left"/>
      </w:pPr>
      <w:r>
        <w:rPr>
          <w:color w:val="0F4C81"/>
        </w:rPr>
        <w:t>9. Hoja de ruta de implementación</w:t>
      </w:r>
    </w:p>
    <w:p>
      <w:pPr>
        <w:pStyle w:val="Heading2"/>
      </w:pPr>
      <w:r>
        <w:rPr>
          <w:color w:val="1E6195"/>
        </w:rPr>
        <w:t>9.1 Primeros 90 días</w:t>
      </w:r>
    </w:p>
    <w:p>
      <w:pPr>
        <w:pStyle w:val="ListBullet"/>
      </w:pPr>
      <w:r>
        <w:rPr>
          <w:sz w:val="22"/>
        </w:rPr>
        <w:t>Dia 1-30: emitir resolucion interna para crear DGTD, definir mandato, RACI y baseline de costos.</w:t>
      </w:r>
    </w:p>
    <w:p>
      <w:pPr>
        <w:pStyle w:val="ListBullet"/>
      </w:pPr>
      <w:r>
        <w:rPr>
          <w:sz w:val="22"/>
        </w:rPr>
        <w:t>Dia 31-60: designar jefatura interina DGTD, activar PMO digital y tablero FinOps con alertas por umbrales.</w:t>
      </w:r>
    </w:p>
    <w:p>
      <w:pPr>
        <w:pStyle w:val="ListBullet"/>
      </w:pPr>
      <w:r>
        <w:rPr>
          <w:sz w:val="22"/>
        </w:rPr>
        <w:t>Dia 61-90: ejecutar primer ciclo completo de control, reforecast y comite directivo con decisiones formalizadas.</w:t>
      </w:r>
    </w:p>
    <w:p>
      <w:pPr>
        <w:pStyle w:val="Heading2"/>
      </w:pPr>
      <w:r>
        <w:rPr>
          <w:color w:val="1E6195"/>
        </w:rPr>
        <w:t>9.2 Ciclo anual</w:t>
      </w:r>
    </w:p>
    <w:p>
      <w:pPr>
        <w:pStyle w:val="ListBullet"/>
      </w:pPr>
      <w:r>
        <w:rPr>
          <w:sz w:val="22"/>
        </w:rPr>
        <w:t>Reforecast trimestral.</w:t>
      </w:r>
    </w:p>
    <w:p>
      <w:pPr>
        <w:pStyle w:val="ListBullet"/>
      </w:pPr>
      <w:r>
        <w:rPr>
          <w:sz w:val="22"/>
        </w:rPr>
        <w:t>Revisión semestral de riesgos y arquitectura.</w:t>
      </w:r>
    </w:p>
    <w:p>
      <w:pPr>
        <w:pStyle w:val="ListBullet"/>
      </w:pPr>
      <w:r>
        <w:rPr>
          <w:sz w:val="22"/>
        </w:rPr>
        <w:t>Cierre anual con evaluación de valor generado y eficiencia del gasto TIC.</w:t>
      </w:r>
    </w:p>
    <w:p>
      <w:pPr>
        <w:pStyle w:val="ListBullet"/>
      </w:pPr>
      <w:r>
        <w:rPr>
          <w:sz w:val="22"/>
        </w:rPr>
        <w:t>Evaluacion anual de madurez DGTD y ajuste de dotacion/capacidades.</w:t>
      </w:r>
    </w:p>
    <w:p>
      <w:pPr>
        <w:pStyle w:val="Heading1"/>
        <w:jc w:val="left"/>
      </w:pPr>
      <w:r>
        <w:rPr>
          <w:color w:val="0F4C81"/>
        </w:rPr>
        <w:t>10. Solicitud de decisión</w:t>
      </w:r>
    </w:p>
    <w:p>
      <w:r>
        <w:t>Se solicita a Direccion y Finanzas aprobar: (i) la creacion del Departamento de Gobernanza y Transformacion Digital (DGTD), (ii) la implementacion del Fondo TIC central en escenario Base Operativo, y (iii) la transicion controlada al escenario Integral segun cumplimiento de KPIs y madurez de gestion de costos.</w:t>
      </w:r>
    </w:p>
    <w:p>
      <w:pPr>
        <w:pStyle w:val="Heading1"/>
        <w:jc w:val="left"/>
      </w:pPr>
      <w:r>
        <w:rPr>
          <w:color w:val="0F4C81"/>
        </w:rPr>
        <w:t>11. Referencias técnicas y normativas</w:t>
      </w:r>
    </w:p>
    <w:p>
      <w:pPr>
        <w:pStyle w:val="ListBullet"/>
      </w:pPr>
      <w:r>
        <w:rPr>
          <w:sz w:val="22"/>
        </w:rPr>
        <w:t>ISO/IEC 38500:2024 - https://www.iso.org/search.html?q=ISO%2FIEC%2038500%3A2024</w:t>
      </w:r>
    </w:p>
    <w:p>
      <w:pPr>
        <w:pStyle w:val="ListBullet"/>
      </w:pPr>
      <w:r>
        <w:rPr>
          <w:sz w:val="22"/>
        </w:rPr>
        <w:t>FinOps Framework - https://www.finops.org/framework/</w:t>
      </w:r>
    </w:p>
    <w:p>
      <w:pPr>
        <w:pStyle w:val="ListBullet"/>
      </w:pPr>
      <w:r>
        <w:rPr>
          <w:sz w:val="22"/>
        </w:rPr>
        <w:t>FOCUS Specification - https://focus.finops.org/focus-specification/</w:t>
      </w:r>
    </w:p>
    <w:p>
      <w:pPr>
        <w:pStyle w:val="ListBullet"/>
      </w:pPr>
      <w:r>
        <w:rPr>
          <w:sz w:val="22"/>
        </w:rPr>
        <w:t>NIST AI RMF - https://www.nist.gov/itl/ai-risk-management-framework</w:t>
      </w:r>
    </w:p>
    <w:p>
      <w:pPr>
        <w:pStyle w:val="ListBullet"/>
      </w:pPr>
      <w:r>
        <w:rPr>
          <w:sz w:val="22"/>
        </w:rPr>
        <w:t>NIST AI RMF 1.0 PDF - https://nvlpubs.nist.gov/nistpubs/ai/NIST.AI.100-1.pdf</w:t>
      </w:r>
    </w:p>
    <w:p>
      <w:pPr>
        <w:pStyle w:val="ListBullet"/>
      </w:pPr>
      <w:r>
        <w:rPr>
          <w:sz w:val="22"/>
        </w:rPr>
        <w:t>NIST AI 600-1 (GenAI profile) - https://nvlpubs.nist.gov/nistpubs/ai/NIST.AI.600-1.pdf</w:t>
      </w:r>
    </w:p>
    <w:p>
      <w:pPr>
        <w:pStyle w:val="ListBullet"/>
      </w:pPr>
      <w:r>
        <w:rPr>
          <w:sz w:val="22"/>
        </w:rPr>
        <w:t>OECD Recommendation - https://legalinstruments.oecd.org/en/instruments/OECD-LEGAL-0406</w:t>
      </w:r>
    </w:p>
    <w:p>
      <w:pPr>
        <w:pStyle w:val="ListBullet"/>
      </w:pPr>
      <w:r>
        <w:rPr>
          <w:sz w:val="22"/>
        </w:rPr>
        <w:t>Vercel Pricing - https://vercel.com/pricing</w:t>
      </w:r>
    </w:p>
    <w:p>
      <w:pPr>
        <w:pStyle w:val="ListBullet"/>
      </w:pPr>
      <w:r>
        <w:rPr>
          <w:sz w:val="22"/>
        </w:rPr>
        <w:t>Supabase Pricing - https://supabase.com/pricing</w:t>
      </w:r>
    </w:p>
    <w:p>
      <w:pPr>
        <w:pStyle w:val="ListBullet"/>
      </w:pPr>
      <w:r>
        <w:rPr>
          <w:sz w:val="22"/>
        </w:rPr>
        <w:t>Gemini API Pricing - https://ai.google.dev/gemini-api/docs/pricing</w:t>
      </w:r>
    </w:p>
    <w:p>
      <w:pPr>
        <w:pStyle w:val="ListBullet"/>
      </w:pPr>
      <w:r>
        <w:rPr>
          <w:sz w:val="22"/>
        </w:rPr>
        <w:t>GitHub Actions Billing - https://docs.github.com/en/billing/managing-billing-for-github-actions/about-billing-for-github-actions</w:t>
      </w:r>
    </w:p>
    <w:p>
      <w:pPr>
        <w:pStyle w:val="ListBullet"/>
      </w:pPr>
      <w:r>
        <w:rPr>
          <w:sz w:val="22"/>
        </w:rPr>
        <w:t>Tipo de cambio referencial - https://mindicador.cl/api</w:t>
      </w:r>
    </w:p>
    <w:p>
      <w:pPr>
        <w:pStyle w:val="Heading2"/>
      </w:pPr>
      <w:r>
        <w:rPr>
          <w:color w:val="1E6195"/>
        </w:rPr>
        <w:t>Evidencia de operación en repositorio</w:t>
      </w:r>
    </w:p>
    <w:p>
      <w:pPr>
        <w:pStyle w:val="ListBullet"/>
      </w:pPr>
      <w:r>
        <w:rPr>
          <w:sz w:val="22"/>
        </w:rPr>
        <w:t>.github/workflows/ingest-scrapers.yml</w:t>
      </w:r>
    </w:p>
    <w:p>
      <w:pPr>
        <w:pStyle w:val="ListBullet"/>
      </w:pPr>
      <w:r>
        <w:rPr>
          <w:sz w:val="22"/>
        </w:rPr>
        <w:t>.github/workflows/discover-projects.yml</w:t>
      </w:r>
    </w:p>
    <w:p>
      <w:pPr>
        <w:pStyle w:val="ListBullet"/>
      </w:pPr>
      <w:r>
        <w:rPr>
          <w:sz w:val="22"/>
        </w:rPr>
        <w:t>scripts/discover-projects.ts</w:t>
      </w:r>
    </w:p>
    <w:p>
      <w:pPr>
        <w:pStyle w:val="ListBullet"/>
      </w:pPr>
      <w:r>
        <w:rPr>
          <w:sz w:val="22"/>
        </w:rPr>
        <w:t>scripts/run-scrapers.ts</w:t>
      </w:r>
    </w:p>
    <w:p>
      <w:pPr>
        <w:pStyle w:val="ListBullet"/>
      </w:pPr>
      <w:r>
        <w:rPr>
          <w:sz w:val="22"/>
        </w:rPr>
        <w:t>scripts/backfill-embeddings.ts</w:t>
      </w:r>
    </w:p>
    <w:p>
      <w:pPr>
        <w:pStyle w:val="ListBullet"/>
      </w:pPr>
      <w:r>
        <w:rPr>
          <w:sz w:val="22"/>
        </w:rPr>
        <w:t>prisma/schema.prisma</w:t>
      </w:r>
    </w:p>
    <w:p>
      <w:pPr>
        <w:pStyle w:val="ListBullet"/>
      </w:pPr>
      <w:r>
        <w:rPr>
          <w:sz w:val="22"/>
        </w:rPr>
        <w:t>lib/utils/env.ts</w:t>
      </w:r>
    </w:p>
    <w:sectPr w:rsidR="00FC693F" w:rsidRPr="0006063C" w:rsidSect="00034616"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