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654205"/>
            <wp:docPr id="1" name="Picture 1"/>
            <wp:cNvGraphicFramePr>
              <a:graphicFrameLocks noChangeAspect="1"/>
            </wp:cNvGraphicFramePr>
            <a:graphic>
              <a:graphicData uri="http://schemas.openxmlformats.org/drawingml/2006/picture">
                <pic:pic>
                  <pic:nvPicPr>
                    <pic:cNvPr id="0" name="iica.png"/>
                    <pic:cNvPicPr/>
                  </pic:nvPicPr>
                  <pic:blipFill>
                    <a:blip r:embed="rId9"/>
                    <a:stretch>
                      <a:fillRect/>
                    </a:stretch>
                  </pic:blipFill>
                  <pic:spPr>
                    <a:xfrm>
                      <a:off x="0" y="0"/>
                      <a:ext cx="1828800" cy="654205"/>
                    </a:xfrm>
                    <a:prstGeom prst="rect"/>
                  </pic:spPr>
                </pic:pic>
              </a:graphicData>
            </a:graphic>
          </wp:inline>
        </w:drawing>
      </w:r>
    </w:p>
    <w:p>
      <w:pPr>
        <w:jc w:val="center"/>
      </w:pPr>
      <w:r>
        <w:rPr>
          <w:b/>
          <w:color w:val="0F4C81"/>
          <w:sz w:val="46"/>
        </w:rPr>
        <w:t>Informe Ejecutivo</w:t>
        <w:br/>
        <w:t>Plataforma IICA Chile: Estado, Riesgos y Presupuesto</w:t>
      </w:r>
    </w:p>
    <w:p>
      <w:pPr>
        <w:jc w:val="center"/>
      </w:pPr>
      <w:r>
        <w:rPr>
          <w:b/>
          <w:color w:val="2A2A2A"/>
          <w:sz w:val="30"/>
        </w:rPr>
        <w:t>Representación IICA Chile</w:t>
      </w:r>
    </w:p>
    <w:p>
      <w:pPr>
        <w:jc w:val="center"/>
      </w:pPr>
      <w:r>
        <w:rPr>
          <w:sz w:val="22"/>
        </w:rPr>
        <w:t>Alcance: Solo Plataforma IICA Chile</w:t>
        <w:br/>
        <w:t>Horizonte: 12 meses</w:t>
        <w:br/>
        <w:t>Fecha: 27-05-2026</w:t>
      </w:r>
    </w:p>
    <w:p>
      <w:r>
        <w:br w:type="page"/>
      </w:r>
    </w:p>
    <w:p>
      <w:pPr>
        <w:pStyle w:val="Heading1"/>
      </w:pPr>
      <w:r>
        <w:rPr>
          <w:color w:val="0F4C81"/>
        </w:rPr>
        <w:t>1. Resumen ejecutivo (no técnico)</w:t>
      </w:r>
    </w:p>
    <w:p>
      <w:r>
        <w:t>Hoy la Plataforma IICA Chile ya está funcionando y aporta valor para encontrar oportunidades de financiamiento. El problema no es que la plataforma no exista, sino que opera con recursos muy limitados. Esto hace que la búsqueda de proyectos no sea todo lo eficiente que se necesita.</w:t>
      </w:r>
    </w:p>
    <w:p>
      <w:pPr>
        <w:pStyle w:val="ListBullet"/>
      </w:pPr>
      <w:r>
        <w:rPr>
          <w:sz w:val="22"/>
        </w:rPr>
        <w:t>La plataforma puede seguir activa, pero con riesgo de estancamiento si no se financian herramientas base.</w:t>
      </w:r>
    </w:p>
    <w:p>
      <w:pPr>
        <w:pStyle w:val="ListBullet"/>
      </w:pPr>
      <w:r>
        <w:rPr>
          <w:sz w:val="22"/>
        </w:rPr>
        <w:t>La búsqueda hoy pierde eficiencia por falta de herramientas financiadas para ampliar cobertura y calidad.</w:t>
      </w:r>
    </w:p>
    <w:p>
      <w:pPr>
        <w:pStyle w:val="ListBullet"/>
      </w:pPr>
      <w:r>
        <w:rPr>
          <w:sz w:val="22"/>
        </w:rPr>
        <w:t>Existe riesgo institucional porque activos críticos aún están ligados a cuentas no oficiales.</w:t>
      </w:r>
    </w:p>
    <w:p>
      <w:pPr>
        <w:pStyle w:val="ListBullet"/>
      </w:pPr>
      <w:r>
        <w:rPr>
          <w:sz w:val="22"/>
        </w:rPr>
        <w:t>Con un plan realista y acotado (máximo CLP 3.000.000 anual), se puede estabilizar y mejorar la operación.</w:t>
      </w:r>
    </w:p>
    <w:p>
      <w:pPr>
        <w:pStyle w:val="Heading1"/>
      </w:pPr>
      <w:r>
        <w:rPr>
          <w:color w:val="0F4C81"/>
        </w:rPr>
        <w:t>2. Estado actual de la plataforma IICA Chile</w:t>
      </w:r>
    </w:p>
    <w:p>
      <w:r>
        <w:t>La plataforma tiene operación automatizada, con actualización periódica de fuentes y capa de descubrimiento asistido.</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4E78"/>
          </w:tcPr>
          <w:p>
            <w:pPr>
              <w:jc w:val="center"/>
            </w:pPr>
            <w:r>
              <w:rPr>
                <w:b/>
                <w:color w:val="FFFFFF"/>
                <w:sz w:val="20"/>
              </w:rPr>
              <w:t>Componente</w:t>
            </w:r>
          </w:p>
        </w:tc>
        <w:tc>
          <w:tcPr>
            <w:tcW w:type="dxa" w:w="2340"/>
            <w:shd w:val="clear" w:color="auto" w:fill="1F4E78"/>
          </w:tcPr>
          <w:p>
            <w:pPr>
              <w:jc w:val="center"/>
            </w:pPr>
            <w:r>
              <w:rPr>
                <w:b/>
                <w:color w:val="FFFFFF"/>
                <w:sz w:val="20"/>
              </w:rPr>
              <w:t>Estado</w:t>
            </w:r>
          </w:p>
        </w:tc>
        <w:tc>
          <w:tcPr>
            <w:tcW w:type="dxa" w:w="2340"/>
            <w:shd w:val="clear" w:color="auto" w:fill="1F4E78"/>
          </w:tcPr>
          <w:p>
            <w:pPr>
              <w:jc w:val="center"/>
            </w:pPr>
            <w:r>
              <w:rPr>
                <w:b/>
                <w:color w:val="FFFFFF"/>
                <w:sz w:val="20"/>
              </w:rPr>
              <w:t>Frecuencia</w:t>
            </w:r>
          </w:p>
        </w:tc>
        <w:tc>
          <w:tcPr>
            <w:tcW w:type="dxa" w:w="2340"/>
            <w:shd w:val="clear" w:color="auto" w:fill="1F4E78"/>
          </w:tcPr>
          <w:p>
            <w:pPr>
              <w:jc w:val="center"/>
            </w:pPr>
            <w:r>
              <w:rPr>
                <w:b/>
                <w:color w:val="FFFFFF"/>
                <w:sz w:val="20"/>
              </w:rPr>
              <w:t>Evidencia</w:t>
            </w:r>
          </w:p>
        </w:tc>
      </w:tr>
      <w:tr>
        <w:tc>
          <w:tcPr>
            <w:tcW w:type="dxa" w:w="2340"/>
          </w:tcPr>
          <w:p>
            <w:r>
              <w:t>Ingesta de fuentes</w:t>
            </w:r>
          </w:p>
        </w:tc>
        <w:tc>
          <w:tcPr>
            <w:tcW w:type="dxa" w:w="2340"/>
          </w:tcPr>
          <w:p>
            <w:r>
              <w:t>Operativo</w:t>
            </w:r>
          </w:p>
        </w:tc>
        <w:tc>
          <w:tcPr>
            <w:tcW w:type="dxa" w:w="2340"/>
          </w:tcPr>
          <w:p>
            <w:r>
              <w:t>Diaria (03:00 Chile)</w:t>
            </w:r>
          </w:p>
        </w:tc>
        <w:tc>
          <w:tcPr>
            <w:tcW w:type="dxa" w:w="2340"/>
          </w:tcPr>
          <w:p>
            <w:r>
              <w:t>.github/workflows/ingest-scrapers.yml</w:t>
            </w:r>
          </w:p>
        </w:tc>
      </w:tr>
      <w:tr>
        <w:tc>
          <w:tcPr>
            <w:tcW w:type="dxa" w:w="2340"/>
          </w:tcPr>
          <w:p>
            <w:r>
              <w:t>Descubrimiento IA</w:t>
            </w:r>
          </w:p>
        </w:tc>
        <w:tc>
          <w:tcPr>
            <w:tcW w:type="dxa" w:w="2340"/>
          </w:tcPr>
          <w:p>
            <w:r>
              <w:t>Operativo</w:t>
            </w:r>
          </w:p>
        </w:tc>
        <w:tc>
          <w:tcPr>
            <w:tcW w:type="dxa" w:w="2340"/>
          </w:tcPr>
          <w:p>
            <w:r>
              <w:t>Semanal (lunes)</w:t>
            </w:r>
          </w:p>
        </w:tc>
        <w:tc>
          <w:tcPr>
            <w:tcW w:type="dxa" w:w="2340"/>
          </w:tcPr>
          <w:p>
            <w:r>
              <w:t>.github/workflows/discover-projects.yml</w:t>
            </w:r>
          </w:p>
        </w:tc>
      </w:tr>
      <w:tr>
        <w:tc>
          <w:tcPr>
            <w:tcW w:type="dxa" w:w="2340"/>
          </w:tcPr>
          <w:p>
            <w:r>
              <w:t>Búsqueda híbrida</w:t>
            </w:r>
          </w:p>
        </w:tc>
        <w:tc>
          <w:tcPr>
            <w:tcW w:type="dxa" w:w="2340"/>
          </w:tcPr>
          <w:p>
            <w:r>
              <w:t>Implementada</w:t>
            </w:r>
          </w:p>
        </w:tc>
        <w:tc>
          <w:tcPr>
            <w:tcW w:type="dxa" w:w="2340"/>
          </w:tcPr>
          <w:p>
            <w:r>
              <w:t>En línea</w:t>
            </w:r>
          </w:p>
        </w:tc>
        <w:tc>
          <w:tcPr>
            <w:tcW w:type="dxa" w:w="2340"/>
          </w:tcPr>
          <w:p>
            <w:r>
              <w:t>README.md</w:t>
            </w:r>
          </w:p>
        </w:tc>
      </w:tr>
      <w:tr>
        <w:tc>
          <w:tcPr>
            <w:tcW w:type="dxa" w:w="2340"/>
          </w:tcPr>
          <w:p>
            <w:r>
              <w:t>Scripts de operación</w:t>
            </w:r>
          </w:p>
        </w:tc>
        <w:tc>
          <w:tcPr>
            <w:tcW w:type="dxa" w:w="2340"/>
          </w:tcPr>
          <w:p>
            <w:r>
              <w:t>Operativos</w:t>
            </w:r>
          </w:p>
        </w:tc>
        <w:tc>
          <w:tcPr>
            <w:tcW w:type="dxa" w:w="2340"/>
          </w:tcPr>
          <w:p>
            <w:r>
              <w:t>Bajo demanda</w:t>
            </w:r>
          </w:p>
        </w:tc>
        <w:tc>
          <w:tcPr>
            <w:tcW w:type="dxa" w:w="2340"/>
          </w:tcPr>
          <w:p>
            <w:r>
              <w:t>scripts/run-scrapers.ts / scripts/discover-projects.ts</w:t>
            </w:r>
          </w:p>
        </w:tc>
      </w:tr>
    </w:tbl>
    <w:p>
      <w:pPr>
        <w:pStyle w:val="Heading2"/>
      </w:pPr>
      <w:r>
        <w:rPr>
          <w:color w:val="1E6195"/>
        </w:rPr>
        <w:t>Dónde está la principal brecha</w:t>
      </w:r>
    </w:p>
    <w:p>
      <w:pPr>
        <w:pStyle w:val="ListBullet"/>
      </w:pPr>
      <w:r>
        <w:rPr>
          <w:sz w:val="22"/>
        </w:rPr>
        <w:t>No es falta de iniciativa técnica, es falta de presupuesto estable para sostener y mejorar.</w:t>
      </w:r>
    </w:p>
    <w:p>
      <w:pPr>
        <w:pStyle w:val="ListBullet"/>
      </w:pPr>
      <w:r>
        <w:rPr>
          <w:sz w:val="22"/>
        </w:rPr>
        <w:t>Sin financiamiento, se prioriza apagar urgencias en vez de mejorar resultados de búsqueda.</w:t>
      </w:r>
    </w:p>
    <w:p>
      <w:pPr>
        <w:pStyle w:val="Heading1"/>
      </w:pPr>
      <w:r>
        <w:rPr>
          <w:color w:val="0F4C81"/>
        </w:rPr>
        <w:t>3. Barreras de funcionalidad por falta de presupuesto</w:t>
      </w:r>
    </w:p>
    <w:p>
      <w:pPr>
        <w:pStyle w:val="ListBullet"/>
      </w:pPr>
      <w:r>
        <w:rPr>
          <w:sz w:val="22"/>
        </w:rPr>
        <w:t>Cobertura de búsqueda limitada por no contar con herramientas pagadas suficientes para esa labor.</w:t>
      </w:r>
    </w:p>
    <w:p>
      <w:pPr>
        <w:pStyle w:val="ListBullet"/>
      </w:pPr>
      <w:r>
        <w:rPr>
          <w:sz w:val="22"/>
        </w:rPr>
        <w:t>Menor profundidad en monitoreo y alertas para detectar caída de fuentes o baja de calidad.</w:t>
      </w:r>
    </w:p>
    <w:p>
      <w:pPr>
        <w:pStyle w:val="ListBullet"/>
      </w:pPr>
      <w:r>
        <w:rPr>
          <w:sz w:val="22"/>
        </w:rPr>
        <w:t>Evolución funcional más lenta (mejoras se postergan por foco en operación mínima).</w:t>
      </w:r>
    </w:p>
    <w:p>
      <w:pPr>
        <w:pStyle w:val="ListBullet"/>
      </w:pPr>
      <w:r>
        <w:rPr>
          <w:sz w:val="22"/>
        </w:rPr>
        <w:t>Mayor dependencia de tareas manuales que podrían estar automatizadas con herramientas adecuadas.</w:t>
      </w:r>
    </w:p>
    <w:p>
      <w:pPr>
        <w:pStyle w:val="Heading1"/>
      </w:pPr>
      <w:r>
        <w:rPr>
          <w:color w:val="0F4C81"/>
        </w:rPr>
        <w:t>4. Riesgo institucional por cuentas no oficiales</w:t>
      </w:r>
    </w:p>
    <w:p>
      <w:r>
        <w:t>El repositorio y control técnico aún muestran dependencia de una cuenta no institucional. Esto debe corregirse para proteger continuidad, propiedad y trazabilidad.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E78"/>
          </w:tcPr>
          <w:p>
            <w:pPr>
              <w:jc w:val="center"/>
            </w:pPr>
            <w:r>
              <w:rPr>
                <w:b/>
                <w:color w:val="FFFFFF"/>
                <w:sz w:val="20"/>
              </w:rPr>
              <w:t>Evidencia</w:t>
            </w:r>
          </w:p>
        </w:tc>
        <w:tc>
          <w:tcPr>
            <w:tcW w:type="dxa" w:w="3120"/>
            <w:shd w:val="clear" w:color="auto" w:fill="1F4E78"/>
          </w:tcPr>
          <w:p>
            <w:pPr>
              <w:jc w:val="center"/>
            </w:pPr>
            <w:r>
              <w:rPr>
                <w:b/>
                <w:color w:val="FFFFFF"/>
                <w:sz w:val="20"/>
              </w:rPr>
              <w:t>Riesgo</w:t>
            </w:r>
          </w:p>
        </w:tc>
        <w:tc>
          <w:tcPr>
            <w:tcW w:type="dxa" w:w="3120"/>
            <w:shd w:val="clear" w:color="auto" w:fill="1F4E78"/>
          </w:tcPr>
          <w:p>
            <w:pPr>
              <w:jc w:val="center"/>
            </w:pPr>
            <w:r>
              <w:rPr>
                <w:b/>
                <w:color w:val="FFFFFF"/>
                <w:sz w:val="20"/>
              </w:rPr>
              <w:t>Impacto</w:t>
            </w:r>
          </w:p>
        </w:tc>
      </w:tr>
      <w:tr>
        <w:tc>
          <w:tcPr>
            <w:tcW w:type="dxa" w:w="3120"/>
          </w:tcPr>
          <w:p>
            <w:r>
              <w:t>Remote Git: github.com/maximilianoandrade-sys/iica-chile-plataforma</w:t>
            </w:r>
          </w:p>
        </w:tc>
        <w:tc>
          <w:tcPr>
            <w:tcW w:type="dxa" w:w="3120"/>
          </w:tcPr>
          <w:p>
            <w:r>
              <w:t>Propiedad técnica fuera de cuenta institucional</w:t>
            </w:r>
          </w:p>
        </w:tc>
        <w:tc>
          <w:tcPr>
            <w:tcW w:type="dxa" w:w="3120"/>
          </w:tcPr>
          <w:p>
            <w:r>
              <w:t>Alto: continuidad, control y cumplimiento</w:t>
            </w:r>
          </w:p>
        </w:tc>
      </w:tr>
      <w:tr>
        <w:tc>
          <w:tcPr>
            <w:tcW w:type="dxa" w:w="3120"/>
          </w:tcPr>
          <w:p>
            <w:r>
              <w:t>repository URL en package.json en cuenta personal</w:t>
            </w:r>
          </w:p>
        </w:tc>
        <w:tc>
          <w:tcPr>
            <w:tcW w:type="dxa" w:w="3120"/>
          </w:tcPr>
          <w:p>
            <w:r>
              <w:t>Dependencia de tercero para activos digitales</w:t>
            </w:r>
          </w:p>
        </w:tc>
        <w:tc>
          <w:tcPr>
            <w:tcW w:type="dxa" w:w="3120"/>
          </w:tcPr>
          <w:p>
            <w:r>
              <w:t>Alto: gobernanza y soberanía institucional</w:t>
            </w:r>
          </w:p>
        </w:tc>
      </w:tr>
    </w:tbl>
    <w:p>
      <w:pPr>
        <w:pStyle w:val="ListBullet"/>
      </w:pPr>
      <w:r>
        <w:rPr>
          <w:sz w:val="22"/>
        </w:rPr>
        <w:t>Acción propuesta: migrar repositorio, secretos y facturación a cuentas oficiales IICA en 30 días.</w:t>
      </w:r>
    </w:p>
    <w:p>
      <w:pPr>
        <w:pStyle w:val="Heading1"/>
      </w:pPr>
      <w:r>
        <w:rPr>
          <w:color w:val="0F4C81"/>
        </w:rPr>
        <w:t>5. Costos reales de herramientas usadas (referencia pública)</w:t>
      </w:r>
    </w:p>
    <w:p>
      <w:r>
        <w:t>Valores obtenidos de páginas oficiales de cada plataforma. Conversión referencial usada: 1 USD = CLP 894,67 (mindicador.cl).</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4E78"/>
          </w:tcPr>
          <w:p>
            <w:pPr>
              <w:jc w:val="center"/>
            </w:pPr>
            <w:r>
              <w:rPr>
                <w:b/>
                <w:color w:val="FFFFFF"/>
                <w:sz w:val="20"/>
              </w:rPr>
              <w:t>Herramienta</w:t>
            </w:r>
          </w:p>
        </w:tc>
        <w:tc>
          <w:tcPr>
            <w:tcW w:type="dxa" w:w="2340"/>
            <w:shd w:val="clear" w:color="auto" w:fill="1F4E78"/>
          </w:tcPr>
          <w:p>
            <w:pPr>
              <w:jc w:val="center"/>
            </w:pPr>
            <w:r>
              <w:rPr>
                <w:b/>
                <w:color w:val="FFFFFF"/>
                <w:sz w:val="20"/>
              </w:rPr>
              <w:t>Precio base oficial</w:t>
            </w:r>
          </w:p>
        </w:tc>
        <w:tc>
          <w:tcPr>
            <w:tcW w:type="dxa" w:w="2340"/>
            <w:shd w:val="clear" w:color="auto" w:fill="1F4E78"/>
          </w:tcPr>
          <w:p>
            <w:pPr>
              <w:jc w:val="center"/>
            </w:pPr>
            <w:r>
              <w:rPr>
                <w:b/>
                <w:color w:val="FFFFFF"/>
                <w:sz w:val="20"/>
              </w:rPr>
              <w:t>Referencia</w:t>
            </w:r>
          </w:p>
        </w:tc>
        <w:tc>
          <w:tcPr>
            <w:tcW w:type="dxa" w:w="2340"/>
            <w:shd w:val="clear" w:color="auto" w:fill="1F4E78"/>
          </w:tcPr>
          <w:p>
            <w:pPr>
              <w:jc w:val="center"/>
            </w:pPr>
            <w:r>
              <w:rPr>
                <w:b/>
                <w:color w:val="FFFFFF"/>
                <w:sz w:val="20"/>
              </w:rPr>
              <w:t>Uso en IICA Chile</w:t>
            </w:r>
          </w:p>
        </w:tc>
      </w:tr>
      <w:tr>
        <w:tc>
          <w:tcPr>
            <w:tcW w:type="dxa" w:w="2340"/>
          </w:tcPr>
          <w:p>
            <w:r>
              <w:t>Vercel Pro</w:t>
            </w:r>
          </w:p>
        </w:tc>
        <w:tc>
          <w:tcPr>
            <w:tcW w:type="dxa" w:w="2340"/>
          </w:tcPr>
          <w:p>
            <w:r>
              <w:t>USD 20 / usuario / mes (+ uso)</w:t>
            </w:r>
          </w:p>
        </w:tc>
        <w:tc>
          <w:tcPr>
            <w:tcW w:type="dxa" w:w="2340"/>
          </w:tcPr>
          <w:p>
            <w:r>
              <w:t>vercel.com/pricing</w:t>
            </w:r>
          </w:p>
        </w:tc>
        <w:tc>
          <w:tcPr>
            <w:tcW w:type="dxa" w:w="2340"/>
          </w:tcPr>
          <w:p>
            <w:r>
              <w:t>Hosting y despliegues de la app</w:t>
            </w:r>
          </w:p>
        </w:tc>
      </w:tr>
      <w:tr>
        <w:tc>
          <w:tcPr>
            <w:tcW w:type="dxa" w:w="2340"/>
          </w:tcPr>
          <w:p>
            <w:r>
              <w:t>Supabase Pro</w:t>
            </w:r>
          </w:p>
        </w:tc>
        <w:tc>
          <w:tcPr>
            <w:tcW w:type="dxa" w:w="2340"/>
          </w:tcPr>
          <w:p>
            <w:r>
              <w:t>USD 25 / mes (+ compute y egress)</w:t>
            </w:r>
          </w:p>
        </w:tc>
        <w:tc>
          <w:tcPr>
            <w:tcW w:type="dxa" w:w="2340"/>
          </w:tcPr>
          <w:p>
            <w:r>
              <w:t>supabase.com/pricing</w:t>
            </w:r>
          </w:p>
        </w:tc>
        <w:tc>
          <w:tcPr>
            <w:tcW w:type="dxa" w:w="2340"/>
          </w:tcPr>
          <w:p>
            <w:r>
              <w:t>Base de datos y backend</w:t>
            </w:r>
          </w:p>
        </w:tc>
      </w:tr>
      <w:tr>
        <w:tc>
          <w:tcPr>
            <w:tcW w:type="dxa" w:w="2340"/>
          </w:tcPr>
          <w:p>
            <w:r>
              <w:t>GitHub Actions</w:t>
            </w:r>
          </w:p>
        </w:tc>
        <w:tc>
          <w:tcPr>
            <w:tcW w:type="dxa" w:w="2340"/>
          </w:tcPr>
          <w:p>
            <w:r>
              <w:t>Linux USD 0.006/min (exceso)</w:t>
            </w:r>
          </w:p>
        </w:tc>
        <w:tc>
          <w:tcPr>
            <w:tcW w:type="dxa" w:w="2340"/>
          </w:tcPr>
          <w:p>
            <w:r>
              <w:t>docs.github.com billing actions</w:t>
            </w:r>
          </w:p>
        </w:tc>
        <w:tc>
          <w:tcPr>
            <w:tcW w:type="dxa" w:w="2340"/>
          </w:tcPr>
          <w:p>
            <w:r>
              <w:t>Automatizaciones CI/CD</w:t>
            </w:r>
          </w:p>
        </w:tc>
      </w:tr>
      <w:tr>
        <w:tc>
          <w:tcPr>
            <w:tcW w:type="dxa" w:w="2340"/>
          </w:tcPr>
          <w:p>
            <w:r>
              <w:t>Gemini 2.5 Flash Lite</w:t>
            </w:r>
          </w:p>
        </w:tc>
        <w:tc>
          <w:tcPr>
            <w:tcW w:type="dxa" w:w="2340"/>
          </w:tcPr>
          <w:p>
            <w:r>
              <w:t>Input USD 0.10 / 1M tokens, Output USD 0.40 / 1M</w:t>
            </w:r>
          </w:p>
        </w:tc>
        <w:tc>
          <w:tcPr>
            <w:tcW w:type="dxa" w:w="2340"/>
          </w:tcPr>
          <w:p>
            <w:r>
              <w:t>Google Cloud Agent Platform Pricing</w:t>
            </w:r>
          </w:p>
        </w:tc>
        <w:tc>
          <w:tcPr>
            <w:tcW w:type="dxa" w:w="2340"/>
          </w:tcPr>
          <w:p>
            <w:r>
              <w:t>Descubrimiento y apoyo de búsqueda</w:t>
            </w:r>
          </w:p>
        </w:tc>
      </w:tr>
    </w:tbl>
    <w:p>
      <w:pPr>
        <w:pStyle w:val="Heading1"/>
      </w:pPr>
      <w:r>
        <w:rPr>
          <w:color w:val="0F4C81"/>
        </w:rPr>
        <w:t>6. Presupuesto anual reajustado (tope máximo CLP 3.000.000)</w:t>
      </w:r>
    </w:p>
    <w:p>
      <w:r>
        <w:t>Para hacer la propuesta financiable y atractiva, se ajusta a un techo de 3 millones CLP anuales, priorizando continuidad + mejora puntual de búsqueda.</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4E78"/>
          </w:tcPr>
          <w:p>
            <w:pPr>
              <w:jc w:val="center"/>
            </w:pPr>
            <w:r>
              <w:rPr>
                <w:b/>
                <w:color w:val="FFFFFF"/>
                <w:sz w:val="20"/>
              </w:rPr>
              <w:t>Componente</w:t>
            </w:r>
          </w:p>
        </w:tc>
        <w:tc>
          <w:tcPr>
            <w:tcW w:type="dxa" w:w="2340"/>
            <w:shd w:val="clear" w:color="auto" w:fill="1F4E78"/>
          </w:tcPr>
          <w:p>
            <w:pPr>
              <w:jc w:val="center"/>
            </w:pPr>
            <w:r>
              <w:rPr>
                <w:b/>
                <w:color w:val="FFFFFF"/>
                <w:sz w:val="20"/>
              </w:rPr>
              <w:t>Mensual</w:t>
            </w:r>
          </w:p>
        </w:tc>
        <w:tc>
          <w:tcPr>
            <w:tcW w:type="dxa" w:w="2340"/>
            <w:shd w:val="clear" w:color="auto" w:fill="1F4E78"/>
          </w:tcPr>
          <w:p>
            <w:pPr>
              <w:jc w:val="center"/>
            </w:pPr>
            <w:r>
              <w:rPr>
                <w:b/>
                <w:color w:val="FFFFFF"/>
                <w:sz w:val="20"/>
              </w:rPr>
              <w:t>Anual</w:t>
            </w:r>
          </w:p>
        </w:tc>
        <w:tc>
          <w:tcPr>
            <w:tcW w:type="dxa" w:w="2340"/>
            <w:shd w:val="clear" w:color="auto" w:fill="1F4E78"/>
          </w:tcPr>
          <w:p>
            <w:pPr>
              <w:jc w:val="center"/>
            </w:pPr>
            <w:r>
              <w:rPr>
                <w:b/>
                <w:color w:val="FFFFFF"/>
                <w:sz w:val="20"/>
              </w:rPr>
              <w:t>Objetivo</w:t>
            </w:r>
          </w:p>
        </w:tc>
      </w:tr>
      <w:tr>
        <w:tc>
          <w:tcPr>
            <w:tcW w:type="dxa" w:w="2340"/>
          </w:tcPr>
          <w:p>
            <w:r>
              <w:t>Infraestructura base (hosting + BD)</w:t>
            </w:r>
          </w:p>
        </w:tc>
        <w:tc>
          <w:tcPr>
            <w:tcW w:type="dxa" w:w="2340"/>
          </w:tcPr>
          <w:p>
            <w:r>
              <w:t>CLP 90.000</w:t>
            </w:r>
          </w:p>
        </w:tc>
        <w:tc>
          <w:tcPr>
            <w:tcW w:type="dxa" w:w="2340"/>
          </w:tcPr>
          <w:p>
            <w:r>
              <w:t>CLP 1.080.000</w:t>
            </w:r>
          </w:p>
        </w:tc>
        <w:tc>
          <w:tcPr>
            <w:tcW w:type="dxa" w:w="2340"/>
          </w:tcPr>
          <w:p>
            <w:r>
              <w:t>Mantener plataforma activa</w:t>
            </w:r>
          </w:p>
        </w:tc>
      </w:tr>
      <w:tr>
        <w:tc>
          <w:tcPr>
            <w:tcW w:type="dxa" w:w="2340"/>
          </w:tcPr>
          <w:p>
            <w:r>
              <w:t>Automatización y operación (CI/CD)</w:t>
            </w:r>
          </w:p>
        </w:tc>
        <w:tc>
          <w:tcPr>
            <w:tcW w:type="dxa" w:w="2340"/>
          </w:tcPr>
          <w:p>
            <w:r>
              <w:t>CLP 30.000</w:t>
            </w:r>
          </w:p>
        </w:tc>
        <w:tc>
          <w:tcPr>
            <w:tcW w:type="dxa" w:w="2340"/>
          </w:tcPr>
          <w:p>
            <w:r>
              <w:t>CLP 360.000</w:t>
            </w:r>
          </w:p>
        </w:tc>
        <w:tc>
          <w:tcPr>
            <w:tcW w:type="dxa" w:w="2340"/>
          </w:tcPr>
          <w:p>
            <w:r>
              <w:t>Continuidad operativa</w:t>
            </w:r>
          </w:p>
        </w:tc>
      </w:tr>
      <w:tr>
        <w:tc>
          <w:tcPr>
            <w:tcW w:type="dxa" w:w="2340"/>
          </w:tcPr>
          <w:p>
            <w:r>
              <w:t>Bolsa IA para búsqueda</w:t>
            </w:r>
          </w:p>
        </w:tc>
        <w:tc>
          <w:tcPr>
            <w:tcW w:type="dxa" w:w="2340"/>
          </w:tcPr>
          <w:p>
            <w:r>
              <w:t>CLP 50.000</w:t>
            </w:r>
          </w:p>
        </w:tc>
        <w:tc>
          <w:tcPr>
            <w:tcW w:type="dxa" w:w="2340"/>
          </w:tcPr>
          <w:p>
            <w:r>
              <w:t>CLP 600.000</w:t>
            </w:r>
          </w:p>
        </w:tc>
        <w:tc>
          <w:tcPr>
            <w:tcW w:type="dxa" w:w="2340"/>
          </w:tcPr>
          <w:p>
            <w:r>
              <w:t>Mejorar eficiencia de búsqueda</w:t>
            </w:r>
          </w:p>
        </w:tc>
      </w:tr>
      <w:tr>
        <w:tc>
          <w:tcPr>
            <w:tcW w:type="dxa" w:w="2340"/>
          </w:tcPr>
          <w:p>
            <w:r>
              <w:t>Monitoreo y respaldo</w:t>
            </w:r>
          </w:p>
        </w:tc>
        <w:tc>
          <w:tcPr>
            <w:tcW w:type="dxa" w:w="2340"/>
          </w:tcPr>
          <w:p>
            <w:r>
              <w:t>CLP 25.000</w:t>
            </w:r>
          </w:p>
        </w:tc>
        <w:tc>
          <w:tcPr>
            <w:tcW w:type="dxa" w:w="2340"/>
          </w:tcPr>
          <w:p>
            <w:r>
              <w:t>CLP 300.000</w:t>
            </w:r>
          </w:p>
        </w:tc>
        <w:tc>
          <w:tcPr>
            <w:tcW w:type="dxa" w:w="2340"/>
          </w:tcPr>
          <w:p>
            <w:r>
              <w:t>Reducir riesgo operativo</w:t>
            </w:r>
          </w:p>
        </w:tc>
      </w:tr>
      <w:tr>
        <w:tc>
          <w:tcPr>
            <w:tcW w:type="dxa" w:w="2340"/>
          </w:tcPr>
          <w:p>
            <w:r>
              <w:t>Contingencia y mejoras menores</w:t>
            </w:r>
          </w:p>
        </w:tc>
        <w:tc>
          <w:tcPr>
            <w:tcW w:type="dxa" w:w="2340"/>
          </w:tcPr>
          <w:p>
            <w:r>
              <w:t>CLP 50.833</w:t>
            </w:r>
          </w:p>
        </w:tc>
        <w:tc>
          <w:tcPr>
            <w:tcW w:type="dxa" w:w="2340"/>
          </w:tcPr>
          <w:p>
            <w:r>
              <w:t>CLP 610.000</w:t>
            </w:r>
          </w:p>
        </w:tc>
        <w:tc>
          <w:tcPr>
            <w:tcW w:type="dxa" w:w="2340"/>
          </w:tcPr>
          <w:p>
            <w:r>
              <w:t>Flexibilidad y correcciones</w:t>
            </w:r>
          </w:p>
        </w:tc>
      </w:tr>
    </w:tbl>
    <w:p>
      <w:r>
        <w:rPr>
          <w:b/>
          <w:color w:val="0C6E36"/>
        </w:rPr>
        <w:t>Total anual propuesto: CLP 2.950.000 (dentro del tope de CLP 3.000.000).</w:t>
      </w:r>
    </w:p>
    <w:p>
      <w:pPr>
        <w:pStyle w:val="Heading1"/>
      </w:pPr>
      <w:r>
        <w:rPr>
          <w:color w:val="0F4C81"/>
        </w:rPr>
        <w:t>7. Futuras funcionalidades y proyectos vinculados</w:t>
      </w:r>
    </w:p>
    <w:p>
      <w:pPr>
        <w:pStyle w:val="ListBullet"/>
      </w:pPr>
      <w:r>
        <w:rPr>
          <w:sz w:val="22"/>
        </w:rPr>
        <w:t>IICA Responde: agente virtual institucional para orientar dudas frecuentes de usuarios y equipos.</w:t>
      </w:r>
    </w:p>
    <w:p>
      <w:pPr>
        <w:pStyle w:val="ListBullet"/>
      </w:pPr>
      <w:r>
        <w:rPr>
          <w:sz w:val="22"/>
        </w:rPr>
        <w:t>Mejora de ranking de oportunidades para mostrar primero resultados más útiles y vigentes.</w:t>
      </w:r>
    </w:p>
    <w:p>
      <w:pPr>
        <w:pStyle w:val="ListBullet"/>
      </w:pPr>
      <w:r>
        <w:rPr>
          <w:sz w:val="22"/>
        </w:rPr>
        <w:t>Alertas de nuevas convocatorias y alertas de cierre para mejorar tiempos de reacción.</w:t>
      </w:r>
    </w:p>
    <w:p>
      <w:pPr>
        <w:pStyle w:val="ListBullet"/>
      </w:pPr>
      <w:r>
        <w:rPr>
          <w:sz w:val="22"/>
        </w:rPr>
        <w:t>Panel ejecutivo amigable para seguimiento de uso, costos y resultados.</w:t>
      </w:r>
    </w:p>
    <w:p>
      <w:pPr>
        <w:pStyle w:val="Heading2"/>
      </w:pPr>
      <w:r>
        <w:rPr>
          <w:color w:val="1E6195"/>
        </w:rPr>
        <w:t>Visión de valor</w:t>
      </w:r>
    </w:p>
    <w:p>
      <w:r>
        <w:t>La idea de IICA Responde no es solo una mejora tecnológica. Es una forma de acercar el IICA a sus usuarios con un servicio más rápido, más claro y más útil para quienes buscan oportunidades reales.</w:t>
      </w:r>
    </w:p>
    <w:p>
      <w:pPr>
        <w:pStyle w:val="Heading1"/>
      </w:pPr>
      <w:r>
        <w:rPr>
          <w:color w:val="0F4C81"/>
        </w:rPr>
        <w:t>8. Decisión sugerida</w:t>
      </w:r>
    </w:p>
    <w:p>
      <w:pPr>
        <w:pStyle w:val="ListBullet"/>
      </w:pPr>
      <w:r>
        <w:rPr>
          <w:sz w:val="22"/>
        </w:rPr>
        <w:t>Aprobar presupuesto anual de continuidad: CLP 2.950.000.</w:t>
      </w:r>
    </w:p>
    <w:p>
      <w:pPr>
        <w:pStyle w:val="ListBullet"/>
      </w:pPr>
      <w:r>
        <w:rPr>
          <w:sz w:val="22"/>
        </w:rPr>
        <w:t>Mandatar institucionalización de cuentas y activos digitales de la plataforma.</w:t>
      </w:r>
    </w:p>
    <w:p>
      <w:pPr>
        <w:pStyle w:val="ListBullet"/>
      </w:pPr>
      <w:r>
        <w:rPr>
          <w:sz w:val="22"/>
        </w:rPr>
        <w:t>Priorizar mejoras de búsqueda y piloto de IICA Responde en el siguiente ciclo.</w:t>
      </w:r>
    </w:p>
    <w:p>
      <w:pPr>
        <w:pStyle w:val="Heading2"/>
      </w:pPr>
      <w:r>
        <w:rPr>
          <w:color w:val="1E6195"/>
        </w:rPr>
        <w:t>Referencias internas usadas</w:t>
      </w:r>
    </w:p>
    <w:p>
      <w:pPr>
        <w:pStyle w:val="ListBullet"/>
      </w:pPr>
      <w:r>
        <w:rPr>
          <w:sz w:val="22"/>
        </w:rPr>
        <w:t>README.md</w:t>
      </w:r>
    </w:p>
    <w:p>
      <w:pPr>
        <w:pStyle w:val="ListBullet"/>
      </w:pPr>
      <w:r>
        <w:rPr>
          <w:sz w:val="22"/>
        </w:rPr>
        <w:t>.github/workflows/ingest-scrapers.yml</w:t>
      </w:r>
    </w:p>
    <w:p>
      <w:pPr>
        <w:pStyle w:val="ListBullet"/>
      </w:pPr>
      <w:r>
        <w:rPr>
          <w:sz w:val="22"/>
        </w:rPr>
        <w:t>.github/workflows/discover-projects.yml</w:t>
      </w:r>
    </w:p>
    <w:p>
      <w:pPr>
        <w:pStyle w:val="ListBullet"/>
      </w:pPr>
      <w:r>
        <w:rPr>
          <w:sz w:val="22"/>
        </w:rPr>
        <w:t>scripts/run-scrapers.ts</w:t>
      </w:r>
    </w:p>
    <w:p>
      <w:pPr>
        <w:pStyle w:val="ListBullet"/>
      </w:pPr>
      <w:r>
        <w:rPr>
          <w:sz w:val="22"/>
        </w:rPr>
        <w:t>scripts/discover-projects.ts</w:t>
      </w:r>
    </w:p>
    <w:p>
      <w:pPr>
        <w:pStyle w:val="ListBullet"/>
      </w:pPr>
      <w:r>
        <w:rPr>
          <w:sz w:val="22"/>
        </w:rPr>
        <w:t>package.json</w:t>
      </w:r>
    </w:p>
    <w:sectPr w:rsidR="00FC693F" w:rsidRPr="0006063C" w:rsidSect="00034616">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