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jc w:val="center"/>
      </w:pPr>
      <w:r>
        <w:rPr>
          <w:rFonts w:ascii="Arial" w:hAnsi="Arial" w:cs="Arial" w:eastAsia="Arial"/>
          <w:b/>
          <w:color w:val="555555"/>
          <w:sz w:val="32"/>
        </w:rPr>
        <w:t>SEMAXEL</w:t>
      </w:r>
    </w:p>
    <w:p>
      <w:pPr>
        <w:spacing w:before="400"/>
        <w:jc w:val="center"/>
      </w:pPr>
      <w:r>
        <w:rPr>
          <w:rFonts w:ascii="Arial" w:hAnsi="Arial" w:cs="Arial" w:eastAsia="Arial"/>
          <w:b/>
          <w:color w:val="17365D"/>
          <w:sz w:val="52"/>
        </w:rPr>
        <w:t>Diagrama de Componentes</w:t>
      </w:r>
    </w:p>
    <w:p>
      <w:pPr>
        <w:jc w:val="center"/>
      </w:pPr>
      <w:r>
        <w:rPr>
          <w:rFonts w:ascii="Arial" w:hAnsi="Arial" w:cs="Arial" w:eastAsia="Arial"/>
          <w:i/>
          <w:color w:val="555555"/>
          <w:sz w:val="26"/>
        </w:rPr>
        <w:t>Sistema de Gestión de Mantenimiento de Infraestructura — SEMAXEL</w:t>
      </w:r>
    </w:p>
    <w:p/>
    <w:p>
      <w:pPr>
        <w:jc w:val="center"/>
      </w:pPr>
      <w:r>
        <w:rPr>
          <w:rFonts w:ascii="Arial" w:hAnsi="Arial" w:cs="Arial" w:eastAsia="Arial"/>
          <w:color w:val="555555"/>
          <w:sz w:val="22"/>
        </w:rPr>
        <w:t>Asignatura: PTY4614 - Capstone</w:t>
      </w:r>
    </w:p>
    <w:p>
      <w:pPr>
        <w:jc w:val="center"/>
      </w:pPr>
      <w:r>
        <w:rPr>
          <w:rFonts w:ascii="Arial" w:hAnsi="Arial" w:cs="Arial" w:eastAsia="Arial"/>
          <w:color w:val="555555"/>
          <w:sz w:val="22"/>
        </w:rPr>
        <w:t>Docente: Cindy Contador</w:t>
      </w:r>
    </w:p>
    <w:p>
      <w:pPr>
        <w:jc w:val="center"/>
      </w:pPr>
      <w:r>
        <w:rPr>
          <w:rFonts w:ascii="Arial" w:hAnsi="Arial" w:cs="Arial" w:eastAsia="Arial"/>
          <w:color w:val="555555"/>
          <w:sz w:val="22"/>
        </w:rPr>
        <w:t>Equipo de Trabajo:</w:t>
      </w:r>
    </w:p>
    <w:p>
      <w:pPr>
        <w:jc w:val="center"/>
      </w:pPr>
      <w:r>
        <w:rPr>
          <w:rFonts w:ascii="Arial" w:hAnsi="Arial" w:cs="Arial" w:eastAsia="Arial"/>
          <w:color w:val="555555"/>
          <w:sz w:val="22"/>
        </w:rPr>
        <w:t>Maximiliano Duarte — Scrum Master / Líder QA</w:t>
      </w:r>
    </w:p>
    <w:p>
      <w:pPr>
        <w:jc w:val="center"/>
      </w:pPr>
      <w:r>
        <w:rPr>
          <w:rFonts w:ascii="Arial" w:hAnsi="Arial" w:cs="Arial" w:eastAsia="Arial"/>
          <w:color w:val="555555"/>
          <w:sz w:val="22"/>
        </w:rPr>
        <w:t>Juan León — Product Owner / Redactor Técnico</w:t>
      </w:r>
    </w:p>
    <w:p>
      <w:pPr>
        <w:jc w:val="center"/>
      </w:pPr>
      <w:r>
        <w:rPr>
          <w:rFonts w:ascii="Arial" w:hAnsi="Arial" w:cs="Arial" w:eastAsia="Arial"/>
          <w:color w:val="555555"/>
          <w:sz w:val="22"/>
        </w:rPr>
        <w:t>Elías Guala — Desarrollador Fullstack</w:t>
      </w:r>
    </w:p>
    <w:p>
      <w:pPr>
        <w:jc w:val="center"/>
      </w:pPr>
      <w:r>
        <w:rPr>
          <w:rFonts w:ascii="Arial" w:hAnsi="Arial" w:cs="Arial" w:eastAsia="Arial"/>
          <w:color w:val="555555"/>
          <w:sz w:val="22"/>
        </w:rPr>
        <w:t>Sebastián Maturana — Líder Técnico</w:t>
      </w:r>
    </w:p>
    <w:p>
      <w:pPr>
        <w:jc w:val="center"/>
      </w:pPr>
      <w:r>
        <w:rPr>
          <w:rFonts w:ascii="Arial" w:hAnsi="Arial" w:cs="Arial" w:eastAsia="Arial"/>
          <w:color w:val="555555"/>
          <w:sz w:val="22"/>
        </w:rPr>
        <w:t>Fecha: 30 de septiembre de 2026</w:t>
      </w:r>
    </w:p>
    <w:p>
      <w:r>
        <w:br w:type="page"/>
      </w:r>
    </w:p>
    <w:p>
      <w:pPr>
        <w:pStyle w:val="Heading1"/>
      </w:pPr>
      <w:r>
        <w:rPr>
          <w:rFonts w:ascii="Arial" w:hAnsi="Arial" w:cs="Arial" w:eastAsia="Arial"/>
          <w:b/>
          <w:color w:val="17365D"/>
          <w:sz w:val="32"/>
        </w:rPr>
        <w:t>Propósito del documento</w:t>
      </w:r>
    </w:p>
    <w:p>
      <w:pPr>
        <w:spacing w:after="160"/>
      </w:pPr>
      <w:r>
        <w:rPr>
          <w:rFonts w:ascii="Arial" w:hAnsi="Arial" w:cs="Arial" w:eastAsia="Arial"/>
          <w:b w:val="0"/>
          <w:i w:val="0"/>
          <w:sz w:val="22"/>
        </w:rPr>
        <w:t>SEMAXEL está construido como un monolito modular: una única aplicación Django dividida en 9 apps internas de bajo acoplamiento. Este documento presenta cada app como un componente, agrupado por capa arquitectónica, y las dependencias reales entre ellas según los imports observados en el código (models.py, views.py) de cada app.</w:t>
      </w:r>
    </w:p>
    <w:p>
      <w:pPr>
        <w:pStyle w:val="Heading1"/>
      </w:pPr>
      <w:r>
        <w:rPr>
          <w:rFonts w:ascii="Arial" w:hAnsi="Arial" w:cs="Arial" w:eastAsia="Arial"/>
          <w:b/>
          <w:color w:val="17365D"/>
          <w:sz w:val="32"/>
        </w:rPr>
        <w:t>Diagrama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91729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onen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9172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 w:cs="Arial" w:eastAsia="Arial"/>
          <w:i/>
          <w:color w:val="555555"/>
          <w:sz w:val="19"/>
        </w:rPr>
        <w:t>Figura 1. Componentes del sistema agrupados por capa (presentación, aplicación, dominio/servicios, persistencia).</w:t>
      </w:r>
    </w:p>
    <w:p>
      <w:pPr>
        <w:pStyle w:val="Heading1"/>
      </w:pPr>
      <w:r>
        <w:rPr>
          <w:rFonts w:ascii="Arial" w:hAnsi="Arial" w:cs="Arial" w:eastAsia="Arial"/>
          <w:b/>
          <w:color w:val="17365D"/>
          <w:sz w:val="32"/>
        </w:rPr>
        <w:t>Descripción de los componentes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304"/>
            <w:shd w:val="clear" w:color="auto" w:fill="17365D"/>
          </w:tcPr>
          <w:p>
            <w:r/>
            <w:r>
              <w:rPr>
                <w:rFonts w:ascii="Arial" w:hAnsi="Arial" w:cs="Arial" w:eastAsia="Arial"/>
                <w:b/>
                <w:color w:val="FFFFFF"/>
                <w:sz w:val="19"/>
              </w:rPr>
              <w:t>Componente</w:t>
            </w:r>
          </w:p>
        </w:tc>
        <w:tc>
          <w:tcPr>
            <w:tcW w:type="dxa" w:w="2016"/>
            <w:shd w:val="clear" w:color="auto" w:fill="17365D"/>
          </w:tcPr>
          <w:p>
            <w:r/>
            <w:r>
              <w:rPr>
                <w:rFonts w:ascii="Arial" w:hAnsi="Arial" w:cs="Arial" w:eastAsia="Arial"/>
                <w:b/>
                <w:color w:val="FFFFFF"/>
                <w:sz w:val="19"/>
              </w:rPr>
              <w:t>Capa</w:t>
            </w:r>
          </w:p>
        </w:tc>
        <w:tc>
          <w:tcPr>
            <w:tcW w:type="dxa" w:w="5760"/>
            <w:shd w:val="clear" w:color="auto" w:fill="17365D"/>
          </w:tcPr>
          <w:p>
            <w:r/>
            <w:r>
              <w:rPr>
                <w:rFonts w:ascii="Arial" w:hAnsi="Arial" w:cs="Arial" w:eastAsia="Arial"/>
                <w:b/>
                <w:color w:val="FFFFFF"/>
                <w:sz w:val="19"/>
              </w:rPr>
              <w:t>Responsabilidad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Arial" w:hAnsi="Arial" w:cs="Arial" w:eastAsia="Arial"/>
                <w:sz w:val="18"/>
              </w:rPr>
              <w:t>templates/</w:t>
            </w:r>
          </w:p>
        </w:tc>
        <w:tc>
          <w:tcPr>
            <w:tcW w:type="dxa" w:w="2016"/>
          </w:tcPr>
          <w:p>
            <w:r/>
            <w:r>
              <w:rPr>
                <w:rFonts w:ascii="Arial" w:hAnsi="Arial" w:cs="Arial" w:eastAsia="Arial"/>
                <w:sz w:val="18"/>
              </w:rPr>
              <w:t>Presentación</w:t>
            </w:r>
          </w:p>
        </w:tc>
        <w:tc>
          <w:tcPr>
            <w:tcW w:type="dxa" w:w="5760"/>
          </w:tcPr>
          <w:p>
            <w:r/>
            <w:r>
              <w:rPr>
                <w:rFonts w:ascii="Arial" w:hAnsi="Arial" w:cs="Arial" w:eastAsia="Arial"/>
                <w:sz w:val="18"/>
              </w:rPr>
              <w:t>20 plantillas HTML con Bootstrap 5; incluye base.html (sidebar, topbar, breadcrumbs, mensajes flash).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Arial" w:hAnsi="Arial" w:cs="Arial" w:eastAsia="Arial"/>
                <w:sz w:val="18"/>
              </w:rPr>
              <w:t>static/ (css, Chart.js)</w:t>
            </w:r>
          </w:p>
        </w:tc>
        <w:tc>
          <w:tcPr>
            <w:tcW w:type="dxa" w:w="2016"/>
          </w:tcPr>
          <w:p>
            <w:r/>
            <w:r>
              <w:rPr>
                <w:rFonts w:ascii="Arial" w:hAnsi="Arial" w:cs="Arial" w:eastAsia="Arial"/>
                <w:sz w:val="18"/>
              </w:rPr>
              <w:t>Presentación</w:t>
            </w:r>
          </w:p>
        </w:tc>
        <w:tc>
          <w:tcPr>
            <w:tcW w:type="dxa" w:w="5760"/>
          </w:tcPr>
          <w:p>
            <w:r/>
            <w:r>
              <w:rPr>
                <w:rFonts w:ascii="Arial" w:hAnsi="Arial" w:cs="Arial" w:eastAsia="Arial"/>
                <w:sz w:val="18"/>
              </w:rPr>
              <w:t>style.css propio (337 líneas) y librerías vía CDN: Bootstrap 5, Bootstrap Icons, Chart.js.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Arial" w:hAnsi="Arial" w:cs="Arial" w:eastAsia="Arial"/>
                <w:sz w:val="18"/>
              </w:rPr>
              <w:t>config</w:t>
            </w:r>
          </w:p>
        </w:tc>
        <w:tc>
          <w:tcPr>
            <w:tcW w:type="dxa" w:w="2016"/>
          </w:tcPr>
          <w:p>
            <w:r/>
            <w:r>
              <w:rPr>
                <w:rFonts w:ascii="Arial" w:hAnsi="Arial" w:cs="Arial" w:eastAsia="Arial"/>
                <w:sz w:val="18"/>
              </w:rPr>
              <w:t>Aplicación (raíz)</w:t>
            </w:r>
          </w:p>
        </w:tc>
        <w:tc>
          <w:tcPr>
            <w:tcW w:type="dxa" w:w="5760"/>
          </w:tcPr>
          <w:p>
            <w:r/>
            <w:r>
              <w:rPr>
                <w:rFonts w:ascii="Arial" w:hAnsi="Arial" w:cs="Arial" w:eastAsia="Arial"/>
                <w:sz w:val="18"/>
              </w:rPr>
              <w:t>settings.py, urls.py, wsgi.py/asgi.py; registra las 9 apps y enruta el proyecto completo.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Arial" w:hAnsi="Arial" w:cs="Arial" w:eastAsia="Arial"/>
                <w:sz w:val="18"/>
              </w:rPr>
              <w:t>accounts</w:t>
            </w:r>
          </w:p>
        </w:tc>
        <w:tc>
          <w:tcPr>
            <w:tcW w:type="dxa" w:w="2016"/>
          </w:tcPr>
          <w:p>
            <w:r/>
            <w:r>
              <w:rPr>
                <w:rFonts w:ascii="Arial" w:hAnsi="Arial" w:cs="Arial" w:eastAsia="Arial"/>
                <w:sz w:val="18"/>
              </w:rPr>
              <w:t>Aplicación</w:t>
            </w:r>
          </w:p>
        </w:tc>
        <w:tc>
          <w:tcPr>
            <w:tcW w:type="dxa" w:w="5760"/>
          </w:tcPr>
          <w:p>
            <w:r/>
            <w:r>
              <w:rPr>
                <w:rFonts w:ascii="Arial" w:hAnsi="Arial" w:cs="Arial" w:eastAsia="Arial"/>
                <w:sz w:val="18"/>
              </w:rPr>
              <w:t>Usuario y rol; accounts.roles (RBAC); login/logout reales; registro público; gestión de usuarios.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Arial" w:hAnsi="Arial" w:cs="Arial" w:eastAsia="Arial"/>
                <w:sz w:val="18"/>
              </w:rPr>
              <w:t>empresas</w:t>
            </w:r>
          </w:p>
        </w:tc>
        <w:tc>
          <w:tcPr>
            <w:tcW w:type="dxa" w:w="2016"/>
          </w:tcPr>
          <w:p>
            <w:r/>
            <w:r>
              <w:rPr>
                <w:rFonts w:ascii="Arial" w:hAnsi="Arial" w:cs="Arial" w:eastAsia="Arial"/>
                <w:sz w:val="18"/>
              </w:rPr>
              <w:t>Aplicación</w:t>
            </w:r>
          </w:p>
        </w:tc>
        <w:tc>
          <w:tcPr>
            <w:tcW w:type="dxa" w:w="5760"/>
          </w:tcPr>
          <w:p>
            <w:r/>
            <w:r>
              <w:rPr>
                <w:rFonts w:ascii="Arial" w:hAnsi="Arial" w:cs="Arial" w:eastAsia="Arial"/>
                <w:sz w:val="18"/>
              </w:rPr>
              <w:t>Modelo Empresa; base de la arquitectura multiempresa lógica.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Arial" w:hAnsi="Arial" w:cs="Arial" w:eastAsia="Arial"/>
                <w:sz w:val="18"/>
              </w:rPr>
              <w:t>sucursales</w:t>
            </w:r>
          </w:p>
        </w:tc>
        <w:tc>
          <w:tcPr>
            <w:tcW w:type="dxa" w:w="2016"/>
          </w:tcPr>
          <w:p>
            <w:r/>
            <w:r>
              <w:rPr>
                <w:rFonts w:ascii="Arial" w:hAnsi="Arial" w:cs="Arial" w:eastAsia="Arial"/>
                <w:sz w:val="18"/>
              </w:rPr>
              <w:t>Aplicación</w:t>
            </w:r>
          </w:p>
        </w:tc>
        <w:tc>
          <w:tcPr>
            <w:tcW w:type="dxa" w:w="5760"/>
          </w:tcPr>
          <w:p>
            <w:r/>
            <w:r>
              <w:rPr>
                <w:rFonts w:ascii="Arial" w:hAnsi="Arial" w:cs="Arial" w:eastAsia="Arial"/>
                <w:sz w:val="18"/>
              </w:rPr>
              <w:t>CRUD de sucursales y asignación de encargados.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Arial" w:hAnsi="Arial" w:cs="Arial" w:eastAsia="Arial"/>
                <w:sz w:val="18"/>
              </w:rPr>
              <w:t>tecnicos</w:t>
            </w:r>
          </w:p>
        </w:tc>
        <w:tc>
          <w:tcPr>
            <w:tcW w:type="dxa" w:w="2016"/>
          </w:tcPr>
          <w:p>
            <w:r/>
            <w:r>
              <w:rPr>
                <w:rFonts w:ascii="Arial" w:hAnsi="Arial" w:cs="Arial" w:eastAsia="Arial"/>
                <w:sz w:val="18"/>
              </w:rPr>
              <w:t>Aplicación</w:t>
            </w:r>
          </w:p>
        </w:tc>
        <w:tc>
          <w:tcPr>
            <w:tcW w:type="dxa" w:w="5760"/>
          </w:tcPr>
          <w:p>
            <w:r/>
            <w:r>
              <w:rPr>
                <w:rFonts w:ascii="Arial" w:hAnsi="Arial" w:cs="Arial" w:eastAsia="Arial"/>
                <w:sz w:val="18"/>
              </w:rPr>
              <w:t>CRUD de técnicos y especialidades.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Arial" w:hAnsi="Arial" w:cs="Arial" w:eastAsia="Arial"/>
                <w:sz w:val="18"/>
              </w:rPr>
              <w:t>sla</w:t>
            </w:r>
          </w:p>
        </w:tc>
        <w:tc>
          <w:tcPr>
            <w:tcW w:type="dxa" w:w="2016"/>
          </w:tcPr>
          <w:p>
            <w:r/>
            <w:r>
              <w:rPr>
                <w:rFonts w:ascii="Arial" w:hAnsi="Arial" w:cs="Arial" w:eastAsia="Arial"/>
                <w:sz w:val="18"/>
              </w:rPr>
              <w:t>Aplicación</w:t>
            </w:r>
          </w:p>
        </w:tc>
        <w:tc>
          <w:tcPr>
            <w:tcW w:type="dxa" w:w="5760"/>
          </w:tcPr>
          <w:p>
            <w:r/>
            <w:r>
              <w:rPr>
                <w:rFonts w:ascii="Arial" w:hAnsi="Arial" w:cs="Arial" w:eastAsia="Arial"/>
                <w:sz w:val="18"/>
              </w:rPr>
              <w:t>Políticas de tiempo de respuesta/resolución por prioridad y empresa.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Arial" w:hAnsi="Arial" w:cs="Arial" w:eastAsia="Arial"/>
                <w:sz w:val="18"/>
              </w:rPr>
              <w:t>tickets (núcleo)</w:t>
            </w:r>
          </w:p>
        </w:tc>
        <w:tc>
          <w:tcPr>
            <w:tcW w:type="dxa" w:w="2016"/>
          </w:tcPr>
          <w:p>
            <w:r/>
            <w:r>
              <w:rPr>
                <w:rFonts w:ascii="Arial" w:hAnsi="Arial" w:cs="Arial" w:eastAsia="Arial"/>
                <w:sz w:val="18"/>
              </w:rPr>
              <w:t>Aplicación</w:t>
            </w:r>
          </w:p>
        </w:tc>
        <w:tc>
          <w:tcPr>
            <w:tcW w:type="dxa" w:w="5760"/>
          </w:tcPr>
          <w:p>
            <w:r/>
            <w:r>
              <w:rPr>
                <w:rFonts w:ascii="Arial" w:hAnsi="Arial" w:cs="Arial" w:eastAsia="Arial"/>
                <w:sz w:val="18"/>
              </w:rPr>
              <w:t>Ticket, OrdenTrabajo, Calificación, Historial, Evidencia: el flujo central del sistema.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Arial" w:hAnsi="Arial" w:cs="Arial" w:eastAsia="Arial"/>
                <w:sz w:val="18"/>
              </w:rPr>
              <w:t>ofertas</w:t>
            </w:r>
          </w:p>
        </w:tc>
        <w:tc>
          <w:tcPr>
            <w:tcW w:type="dxa" w:w="2016"/>
          </w:tcPr>
          <w:p>
            <w:r/>
            <w:r>
              <w:rPr>
                <w:rFonts w:ascii="Arial" w:hAnsi="Arial" w:cs="Arial" w:eastAsia="Arial"/>
                <w:sz w:val="18"/>
              </w:rPr>
              <w:t>Aplicación</w:t>
            </w:r>
          </w:p>
        </w:tc>
        <w:tc>
          <w:tcPr>
            <w:tcW w:type="dxa" w:w="5760"/>
          </w:tcPr>
          <w:p>
            <w:r/>
            <w:r>
              <w:rPr>
                <w:rFonts w:ascii="Arial" w:hAnsi="Arial" w:cs="Arial" w:eastAsia="Arial"/>
                <w:sz w:val="18"/>
              </w:rPr>
              <w:t>Marketplace de ofertas de trabajo para técnicos.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Arial" w:hAnsi="Arial" w:cs="Arial" w:eastAsia="Arial"/>
                <w:sz w:val="18"/>
              </w:rPr>
              <w:t>mantenimiento</w:t>
            </w:r>
          </w:p>
        </w:tc>
        <w:tc>
          <w:tcPr>
            <w:tcW w:type="dxa" w:w="2016"/>
          </w:tcPr>
          <w:p>
            <w:r/>
            <w:r>
              <w:rPr>
                <w:rFonts w:ascii="Arial" w:hAnsi="Arial" w:cs="Arial" w:eastAsia="Arial"/>
                <w:sz w:val="18"/>
              </w:rPr>
              <w:t>Aplicación</w:t>
            </w:r>
          </w:p>
        </w:tc>
        <w:tc>
          <w:tcPr>
            <w:tcW w:type="dxa" w:w="5760"/>
          </w:tcPr>
          <w:p>
            <w:r/>
            <w:r>
              <w:rPr>
                <w:rFonts w:ascii="Arial" w:hAnsi="Arial" w:cs="Arial" w:eastAsia="Arial"/>
                <w:sz w:val="18"/>
              </w:rPr>
              <w:t>Planes y programaciones de mantenimiento preventivo; genera tickets automáticamente.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Arial" w:hAnsi="Arial" w:cs="Arial" w:eastAsia="Arial"/>
                <w:sz w:val="18"/>
              </w:rPr>
              <w:t>dashboard</w:t>
            </w:r>
          </w:p>
        </w:tc>
        <w:tc>
          <w:tcPr>
            <w:tcW w:type="dxa" w:w="2016"/>
          </w:tcPr>
          <w:p>
            <w:r/>
            <w:r>
              <w:rPr>
                <w:rFonts w:ascii="Arial" w:hAnsi="Arial" w:cs="Arial" w:eastAsia="Arial"/>
                <w:sz w:val="18"/>
              </w:rPr>
              <w:t>Aplicación</w:t>
            </w:r>
          </w:p>
        </w:tc>
        <w:tc>
          <w:tcPr>
            <w:tcW w:type="dxa" w:w="5760"/>
          </w:tcPr>
          <w:p>
            <w:r/>
            <w:r>
              <w:rPr>
                <w:rFonts w:ascii="Arial" w:hAnsi="Arial" w:cs="Arial" w:eastAsia="Arial"/>
                <w:sz w:val="18"/>
              </w:rPr>
              <w:t>KPIs, gráficos Chart.js y reportes agregados; no tiene modelos propios.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Arial" w:hAnsi="Arial" w:cs="Arial" w:eastAsia="Arial"/>
                <w:sz w:val="18"/>
              </w:rPr>
              <w:t>django.admin</w:t>
            </w:r>
          </w:p>
        </w:tc>
        <w:tc>
          <w:tcPr>
            <w:tcW w:type="dxa" w:w="2016"/>
          </w:tcPr>
          <w:p>
            <w:r/>
            <w:r>
              <w:rPr>
                <w:rFonts w:ascii="Arial" w:hAnsi="Arial" w:cs="Arial" w:eastAsia="Arial"/>
                <w:sz w:val="18"/>
              </w:rPr>
              <w:t>Aplicación (transversal)</w:t>
            </w:r>
          </w:p>
        </w:tc>
        <w:tc>
          <w:tcPr>
            <w:tcW w:type="dxa" w:w="5760"/>
          </w:tcPr>
          <w:p>
            <w:r/>
            <w:r>
              <w:rPr>
                <w:rFonts w:ascii="Arial" w:hAnsi="Arial" w:cs="Arial" w:eastAsia="Arial"/>
                <w:sz w:val="18"/>
              </w:rPr>
              <w:t>Panel administrativo autogenerado; todos los modelos están registrados en admin.py.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Arial" w:hAnsi="Arial" w:cs="Arial" w:eastAsia="Arial"/>
                <w:sz w:val="18"/>
              </w:rPr>
              <w:t>Servicios de dominio</w:t>
            </w:r>
          </w:p>
        </w:tc>
        <w:tc>
          <w:tcPr>
            <w:tcW w:type="dxa" w:w="2016"/>
          </w:tcPr>
          <w:p>
            <w:r/>
            <w:r>
              <w:rPr>
                <w:rFonts w:ascii="Arial" w:hAnsi="Arial" w:cs="Arial" w:eastAsia="Arial"/>
                <w:sz w:val="18"/>
              </w:rPr>
              <w:t>Dominio/servicios</w:t>
            </w:r>
          </w:p>
        </w:tc>
        <w:tc>
          <w:tcPr>
            <w:tcW w:type="dxa" w:w="5760"/>
          </w:tcPr>
          <w:p>
            <w:r/>
            <w:r>
              <w:rPr>
                <w:rFonts w:ascii="Arial" w:hAnsi="Arial" w:cs="Arial" w:eastAsia="Arial"/>
                <w:sz w:val="18"/>
              </w:rPr>
              <w:t>accounts.roles, sla.SLAPolicy.obtener(), ofertas.services, mantenimiento.services: lógica reutilizable fuera de las vistas.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Arial" w:hAnsi="Arial" w:cs="Arial" w:eastAsia="Arial"/>
                <w:sz w:val="18"/>
              </w:rPr>
              <w:t>Django ORM</w:t>
            </w:r>
          </w:p>
        </w:tc>
        <w:tc>
          <w:tcPr>
            <w:tcW w:type="dxa" w:w="2016"/>
          </w:tcPr>
          <w:p>
            <w:r/>
            <w:r>
              <w:rPr>
                <w:rFonts w:ascii="Arial" w:hAnsi="Arial" w:cs="Arial" w:eastAsia="Arial"/>
                <w:sz w:val="18"/>
              </w:rPr>
              <w:t>Persistencia</w:t>
            </w:r>
          </w:p>
        </w:tc>
        <w:tc>
          <w:tcPr>
            <w:tcW w:type="dxa" w:w="5760"/>
          </w:tcPr>
          <w:p>
            <w:r/>
            <w:r>
              <w:rPr>
                <w:rFonts w:ascii="Arial" w:hAnsi="Arial" w:cs="Arial" w:eastAsia="Arial"/>
                <w:sz w:val="18"/>
              </w:rPr>
              <w:t>Mapea cada models.py a tablas MySQL; ejecuta las migraciones de cada app.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rFonts w:ascii="Arial" w:hAnsi="Arial" w:cs="Arial" w:eastAsia="Arial"/>
          <w:b/>
          <w:color w:val="17365D"/>
          <w:sz w:val="32"/>
        </w:rPr>
        <w:t>Dependencias clave</w:t>
      </w:r>
    </w:p>
    <w:p>
      <w:pPr>
        <w:pStyle w:val="ListBullet"/>
      </w:pPr>
      <w:r>
        <w:rPr>
          <w:rFonts w:ascii="Arial" w:hAnsi="Arial" w:cs="Arial" w:eastAsia="Arial"/>
          <w:sz w:val="22"/>
        </w:rPr>
        <w:t>accounts es la dependencia transversal más importante: casi todas las apps consultan sus funciones de alcance (sucursales_visibles, tickets_visibles) para filtrar datos por rol y por empresa.</w:t>
      </w:r>
    </w:p>
    <w:p>
      <w:pPr>
        <w:pStyle w:val="ListBullet"/>
      </w:pPr>
      <w:r>
        <w:rPr>
          <w:rFonts w:ascii="Arial" w:hAnsi="Arial" w:cs="Arial" w:eastAsia="Arial"/>
          <w:sz w:val="22"/>
        </w:rPr>
        <w:t>tickets es el componente núcleo: sucursales, tecnicos, categorías y sla confluyen en él, y a su vez es consumido por ofertas, mantenimiento y dashboard.</w:t>
      </w:r>
    </w:p>
    <w:p>
      <w:pPr>
        <w:pStyle w:val="ListBullet"/>
      </w:pPr>
      <w:r>
        <w:rPr>
          <w:rFonts w:ascii="Arial" w:hAnsi="Arial" w:cs="Arial" w:eastAsia="Arial"/>
          <w:sz w:val="22"/>
        </w:rPr>
        <w:t>dashboard no tiene modelos propios (solo vistas de agregación): depende completamente de tickets, ofertas y mantenimiento para calcular sus indicadores.</w:t>
      </w:r>
    </w:p>
    <w:p>
      <w:pPr>
        <w:pStyle w:val="ListBullet"/>
      </w:pPr>
      <w:r>
        <w:rPr>
          <w:rFonts w:ascii="Arial" w:hAnsi="Arial" w:cs="Arial" w:eastAsia="Arial"/>
          <w:sz w:val="22"/>
        </w:rPr>
        <w:t>config es la raíz de composición: no contiene lógica de negocio, solo conecta URLs, settings y sirve archivos media en modo desarrollo.</w:t>
      </w:r>
    </w:p>
    <w:p>
      <w:pPr>
        <w:pStyle w:val="ListBullet"/>
      </w:pPr>
      <w:r>
        <w:rPr>
          <w:rFonts w:ascii="Arial" w:hAnsi="Arial" w:cs="Arial" w:eastAsia="Arial"/>
          <w:sz w:val="22"/>
        </w:rPr>
        <w:t>No existen dependencias circulares entre apps de negocio: el flujo de dependencia es unidireccional desde las apps de apoyo (accounts, empresas, sucursales, tecnicos, sla) hacia el núcleo (tickets) y desde ahí hacia las apps derivadas (ofertas, mantenimiento, dashboard).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