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/>
          <w:b/>
          <w:sz w:val="36"/>
        </w:rPr>
        <w:t>Registro de interesados (Stakeholders)</w:t>
      </w:r>
    </w:p>
    <w:p>
      <w:pPr>
        <w:spacing w:after="40" w:before="0"/>
      </w:pPr>
      <w:r>
        <w:rPr>
          <w:rFonts w:ascii="Arial" w:hAnsi="Arial"/>
          <w:b/>
          <w:sz w:val="17"/>
        </w:rPr>
        <w:t>Proyecto Capstone: SEMAXEL - Sistema de Gestión de Personal Técnico y Mantenimiento de Infraestructura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0"/>
        <w:gridCol w:w="1770"/>
        <w:gridCol w:w="1770"/>
        <w:gridCol w:w="1770"/>
        <w:gridCol w:w="1770"/>
        <w:gridCol w:w="1770"/>
        <w:gridCol w:w="1770"/>
        <w:gridCol w:w="1770"/>
        <w:gridCol w:w="1770"/>
      </w:tblGrid>
      <w:tr>
        <w:trPr>
          <w:trHeight w:val="430" w:hRule="atLeast"/>
        </w:trPr>
        <w:tc>
          <w:tcPr>
            <w:tcW w:type="dxa" w:w="1123"/>
            <w:gridSpan w:val="6"/>
            <w:shd w:fill="1F4E78"/>
            <w:vAlign w:val="center"/>
            <w:tcMar>
              <w:top w:w="30" w:type="dxa"/>
              <w:start w:w="25" w:type="dxa"/>
              <w:bottom w:w="30" w:type="dxa"/>
              <w:end w:w="25" w:type="dxa"/>
            </w:tcMar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  <w:insideH w:val="single" w:sz="4" w:color="9E9E9E"/>
              <w:insideV w:val="single" w:sz="4" w:color="9E9E9E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  <w:color w:val="FFFFFF"/>
              </w:rPr>
              <w:t>Información de identificación</w:t>
            </w:r>
          </w:p>
        </w:tc>
        <w:tc>
          <w:tcPr>
            <w:tcW w:type="dxa" w:w="1036"/>
            <w:gridSpan w:val="3"/>
            <w:shd w:fill="1F4E78"/>
            <w:vAlign w:val="center"/>
            <w:tcMar>
              <w:top w:w="30" w:type="dxa"/>
              <w:start w:w="25" w:type="dxa"/>
              <w:bottom w:w="30" w:type="dxa"/>
              <w:end w:w="25" w:type="dxa"/>
            </w:tcMar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  <w:insideH w:val="single" w:sz="4" w:color="9E9E9E"/>
              <w:insideV w:val="single" w:sz="4" w:color="9E9E9E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  <w:color w:val="FFFFFF"/>
              </w:rPr>
              <w:t>Información de evaluación</w:t>
            </w:r>
          </w:p>
        </w:tc>
      </w:tr>
      <w:tr>
        <w:trPr>
          <w:trHeight w:val="520" w:hRule="atLeast"/>
        </w:trPr>
        <w:tc>
          <w:tcPr>
            <w:tcW w:type="dxa" w:w="1655"/>
            <w:shd w:fill="17365D"/>
            <w:vAlign w:val="center"/>
            <w:tcMar>
              <w:top w:w="30" w:type="dxa"/>
              <w:start w:w="25" w:type="dxa"/>
              <w:bottom w:w="30" w:type="dxa"/>
              <w:end w:w="25" w:type="dxa"/>
            </w:tcMar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  <w:insideH w:val="single" w:sz="4" w:color="9E9E9E"/>
              <w:insideV w:val="single" w:sz="4" w:color="9E9E9E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5"/>
                <w:color w:val="FFFFFF"/>
              </w:rPr>
              <w:t>Nombre</w:t>
            </w:r>
          </w:p>
        </w:tc>
        <w:tc>
          <w:tcPr>
            <w:tcW w:type="dxa" w:w="1512"/>
            <w:shd w:fill="17365D"/>
            <w:vAlign w:val="center"/>
            <w:tcMar>
              <w:top w:w="30" w:type="dxa"/>
              <w:start w:w="25" w:type="dxa"/>
              <w:bottom w:w="30" w:type="dxa"/>
              <w:end w:w="25" w:type="dxa"/>
            </w:tcMar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  <w:insideH w:val="single" w:sz="4" w:color="9E9E9E"/>
              <w:insideV w:val="single" w:sz="4" w:color="9E9E9E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5"/>
                <w:color w:val="FFFFFF"/>
              </w:rPr>
              <w:t>Puesto</w:t>
            </w:r>
          </w:p>
        </w:tc>
        <w:tc>
          <w:tcPr>
            <w:tcW w:type="dxa" w:w="1800"/>
            <w:shd w:fill="17365D"/>
            <w:vAlign w:val="center"/>
            <w:tcMar>
              <w:top w:w="30" w:type="dxa"/>
              <w:start w:w="25" w:type="dxa"/>
              <w:bottom w:w="30" w:type="dxa"/>
              <w:end w:w="25" w:type="dxa"/>
            </w:tcMar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  <w:insideH w:val="single" w:sz="4" w:color="9E9E9E"/>
              <w:insideV w:val="single" w:sz="4" w:color="9E9E9E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5"/>
                <w:color w:val="FFFFFF"/>
              </w:rPr>
              <w:t>Organización / Empresa</w:t>
            </w:r>
          </w:p>
        </w:tc>
        <w:tc>
          <w:tcPr>
            <w:tcW w:type="dxa" w:w="1224"/>
            <w:shd w:fill="17365D"/>
            <w:vAlign w:val="center"/>
            <w:tcMar>
              <w:top w:w="30" w:type="dxa"/>
              <w:start w:w="25" w:type="dxa"/>
              <w:bottom w:w="30" w:type="dxa"/>
              <w:end w:w="25" w:type="dxa"/>
            </w:tcMar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  <w:insideH w:val="single" w:sz="4" w:color="9E9E9E"/>
              <w:insideV w:val="single" w:sz="4" w:color="9E9E9E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5"/>
                <w:color w:val="FFFFFF"/>
              </w:rPr>
              <w:t>Ubicación</w:t>
            </w:r>
          </w:p>
        </w:tc>
        <w:tc>
          <w:tcPr>
            <w:tcW w:type="dxa" w:w="2088"/>
            <w:shd w:fill="17365D"/>
            <w:vAlign w:val="center"/>
            <w:tcMar>
              <w:top w:w="30" w:type="dxa"/>
              <w:start w:w="25" w:type="dxa"/>
              <w:bottom w:w="30" w:type="dxa"/>
              <w:end w:w="25" w:type="dxa"/>
            </w:tcMar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  <w:insideH w:val="single" w:sz="4" w:color="9E9E9E"/>
              <w:insideV w:val="single" w:sz="4" w:color="9E9E9E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5"/>
                <w:color w:val="FFFFFF"/>
              </w:rPr>
              <w:t>Rol en el proyecto</w:t>
            </w:r>
          </w:p>
        </w:tc>
        <w:tc>
          <w:tcPr>
            <w:tcW w:type="dxa" w:w="1123"/>
            <w:shd w:fill="17365D"/>
            <w:vAlign w:val="center"/>
            <w:tcMar>
              <w:top w:w="30" w:type="dxa"/>
              <w:start w:w="25" w:type="dxa"/>
              <w:bottom w:w="30" w:type="dxa"/>
              <w:end w:w="25" w:type="dxa"/>
            </w:tcMar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  <w:insideH w:val="single" w:sz="4" w:color="9E9E9E"/>
              <w:insideV w:val="single" w:sz="4" w:color="9E9E9E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5"/>
                <w:color w:val="FFFFFF"/>
              </w:rPr>
              <w:t>Información de contacto</w:t>
            </w:r>
          </w:p>
        </w:tc>
        <w:tc>
          <w:tcPr>
            <w:tcW w:type="dxa" w:w="2376"/>
            <w:shd w:fill="17365D"/>
            <w:vAlign w:val="center"/>
            <w:tcMar>
              <w:top w:w="30" w:type="dxa"/>
              <w:start w:w="25" w:type="dxa"/>
              <w:bottom w:w="30" w:type="dxa"/>
              <w:end w:w="25" w:type="dxa"/>
            </w:tcMar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  <w:insideH w:val="single" w:sz="4" w:color="9E9E9E"/>
              <w:insideV w:val="single" w:sz="4" w:color="9E9E9E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5"/>
                <w:color w:val="FFFFFF"/>
              </w:rPr>
              <w:t>Requisitos principales</w:t>
            </w:r>
          </w:p>
        </w:tc>
        <w:tc>
          <w:tcPr>
            <w:tcW w:type="dxa" w:w="2376"/>
            <w:shd w:fill="17365D"/>
            <w:vAlign w:val="center"/>
            <w:tcMar>
              <w:top w:w="30" w:type="dxa"/>
              <w:start w:w="25" w:type="dxa"/>
              <w:bottom w:w="30" w:type="dxa"/>
              <w:end w:w="25" w:type="dxa"/>
            </w:tcMar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  <w:insideH w:val="single" w:sz="4" w:color="9E9E9E"/>
              <w:insideV w:val="single" w:sz="4" w:color="9E9E9E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5"/>
                <w:color w:val="FFFFFF"/>
              </w:rPr>
              <w:t>Expectativas principales</w:t>
            </w:r>
          </w:p>
        </w:tc>
        <w:tc>
          <w:tcPr>
            <w:tcW w:type="dxa" w:w="1036"/>
            <w:shd w:fill="17365D"/>
            <w:vAlign w:val="center"/>
            <w:tcMar>
              <w:top w:w="30" w:type="dxa"/>
              <w:start w:w="25" w:type="dxa"/>
              <w:bottom w:w="30" w:type="dxa"/>
              <w:end w:w="25" w:type="dxa"/>
            </w:tcMar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  <w:insideH w:val="single" w:sz="4" w:color="9E9E9E"/>
              <w:insideV w:val="single" w:sz="4" w:color="9E9E9E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5"/>
                <w:color w:val="FFFFFF"/>
              </w:rPr>
              <w:t>Grado de influencia</w:t>
            </w:r>
          </w:p>
        </w:tc>
      </w:tr>
      <w:tr>
        <w:trPr>
          <w:trHeight w:val="690" w:hRule="atLeast"/>
        </w:trPr>
        <w:tc>
          <w:tcPr>
            <w:tcW w:type="dxa" w:w="1655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7F7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Maximiliano Duarte</w:t>
            </w:r>
          </w:p>
        </w:tc>
        <w:tc>
          <w:tcPr>
            <w:tcW w:type="dxa" w:w="151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7F7F7"/>
          </w:tcPr>
          <w:p>
            <w:pPr>
              <w:spacing w:before="0" w:after="0" w:line="240" w:lineRule="auto"/>
              <w:jc w:val="left"/>
            </w:pPr>
            <w:r>
              <w:t>Scrum Master / Líder QA</w:t>
            </w:r>
            <w:r>
              <w:rPr>
                <w:rFonts w:ascii="Arial" w:hAnsi="Arial"/>
                <w:b w:val="0"/>
                <w:color w:val="1F1F1F"/>
                <w:sz w:val="12"/>
              </w:rPr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7F7F7"/>
          </w:tcPr>
          <w:p>
            <w:pPr>
              <w:spacing w:before="0" w:after="0" w:line="240" w:lineRule="auto"/>
              <w:jc w:val="left"/>
            </w:pPr>
            <w:r>
              <w:t>SEMAXEL / Equipo Capstone</w:t>
            </w:r>
            <w:r>
              <w:rPr>
                <w:rFonts w:ascii="Arial" w:hAnsi="Arial"/>
                <w:b w:val="0"/>
                <w:color w:val="1F1F1F"/>
                <w:sz w:val="12"/>
              </w:rPr>
            </w:r>
          </w:p>
        </w:tc>
        <w:tc>
          <w:tcPr>
            <w:tcW w:type="dxa" w:w="122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7F7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No especificada</w:t>
            </w:r>
          </w:p>
        </w:tc>
        <w:tc>
          <w:tcPr>
            <w:tcW w:type="dxa" w:w="20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7F7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Coordinar Scrum, sprints y seguimiento</w:t>
            </w:r>
          </w:p>
        </w:tc>
        <w:tc>
          <w:tcPr>
            <w:tcW w:type="dxa" w:w="112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7F7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Por definir</w:t>
            </w:r>
          </w:p>
        </w:tc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7F7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Ceremonias Scrum, coordinación, seguimiento y remoción de bloqueos</w:t>
            </w:r>
          </w:p>
        </w:tc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7F7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Cumplir planificación y lograr entregas iterativas del MVP</w:t>
            </w:r>
          </w:p>
        </w:tc>
        <w:tc>
          <w:tcPr>
            <w:tcW w:type="dxa" w:w="103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7F7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Alto</w:t>
            </w:r>
          </w:p>
        </w:tc>
      </w:tr>
      <w:tr>
        <w:trPr>
          <w:trHeight w:val="690" w:hRule="atLeast"/>
        </w:trPr>
        <w:tc>
          <w:tcPr>
            <w:tcW w:type="dxa" w:w="1655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Juan León</w:t>
            </w:r>
          </w:p>
        </w:tc>
        <w:tc>
          <w:tcPr>
            <w:tcW w:type="dxa" w:w="151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before="0" w:after="0" w:line="240" w:lineRule="auto"/>
              <w:jc w:val="left"/>
            </w:pPr>
            <w:r>
              <w:t>Product Owner / Redactor Técnico</w:t>
            </w:r>
            <w:r>
              <w:rPr>
                <w:rFonts w:ascii="Arial" w:hAnsi="Arial"/>
                <w:b w:val="0"/>
                <w:color w:val="1F1F1F"/>
                <w:sz w:val="12"/>
              </w:rPr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before="0" w:after="0" w:line="240" w:lineRule="auto"/>
              <w:jc w:val="left"/>
            </w:pPr>
            <w:r>
              <w:t>SEMAXEL / Equipo Capstone</w:t>
            </w:r>
            <w:r>
              <w:rPr>
                <w:rFonts w:ascii="Arial" w:hAnsi="Arial"/>
                <w:b w:val="0"/>
                <w:color w:val="1F1F1F"/>
                <w:sz w:val="12"/>
              </w:rPr>
            </w:r>
          </w:p>
        </w:tc>
        <w:tc>
          <w:tcPr>
            <w:tcW w:type="dxa" w:w="122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No especificada</w:t>
            </w:r>
          </w:p>
        </w:tc>
        <w:tc>
          <w:tcPr>
            <w:tcW w:type="dxa" w:w="20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before="0" w:after="0" w:line="240" w:lineRule="auto"/>
              <w:jc w:val="left"/>
            </w:pPr>
            <w:r>
              <w:t>Priorizar requisitos y redactar documentación técnica</w:t>
            </w:r>
            <w:r>
              <w:rPr>
                <w:rFonts w:ascii="Arial" w:hAnsi="Arial"/>
                <w:b w:val="0"/>
                <w:color w:val="1F1F1F"/>
                <w:sz w:val="12"/>
              </w:rPr>
            </w:r>
          </w:p>
        </w:tc>
        <w:tc>
          <w:tcPr>
            <w:tcW w:type="dxa" w:w="112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Por definir</w:t>
            </w:r>
          </w:p>
        </w:tc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before="0" w:after="0" w:line="240" w:lineRule="auto"/>
              <w:jc w:val="left"/>
            </w:pPr>
            <w:r>
              <w:t>Gestionar backlog y elaborar manuales/documentación del sistema</w:t>
            </w:r>
            <w:r>
              <w:rPr>
                <w:rFonts w:ascii="Arial" w:hAnsi="Arial"/>
                <w:b w:val="0"/>
                <w:color w:val="1F1F1F"/>
                <w:sz w:val="12"/>
              </w:rPr>
            </w:r>
          </w:p>
        </w:tc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before="0" w:after="0" w:line="240" w:lineRule="auto"/>
              <w:jc w:val="left"/>
            </w:pPr>
            <w:r>
              <w:t>Producto alineado a requisitos y con documentación técnica completa</w:t>
            </w:r>
            <w:r>
              <w:rPr>
                <w:rFonts w:ascii="Arial" w:hAnsi="Arial"/>
                <w:b w:val="0"/>
                <w:color w:val="1F1F1F"/>
                <w:sz w:val="12"/>
              </w:rPr>
            </w:r>
          </w:p>
        </w:tc>
        <w:tc>
          <w:tcPr>
            <w:tcW w:type="dxa" w:w="103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Alto</w:t>
            </w:r>
          </w:p>
        </w:tc>
      </w:tr>
      <w:tr>
        <w:trPr>
          <w:trHeight w:val="690" w:hRule="atLeast"/>
        </w:trPr>
        <w:tc>
          <w:tcPr>
            <w:tcW w:type="dxa" w:w="1655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7F7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Elías Guala</w:t>
            </w:r>
          </w:p>
        </w:tc>
        <w:tc>
          <w:tcPr>
            <w:tcW w:type="dxa" w:w="151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7F7F7"/>
          </w:tcPr>
          <w:p>
            <w:pPr>
              <w:spacing w:before="0" w:after="0" w:line="240" w:lineRule="auto"/>
              <w:jc w:val="left"/>
            </w:pPr>
            <w:r>
              <w:t>Desarrollador Fullstack</w:t>
            </w:r>
            <w:r>
              <w:rPr>
                <w:rFonts w:ascii="Arial" w:hAnsi="Arial"/>
                <w:b w:val="0"/>
                <w:color w:val="1F1F1F"/>
                <w:sz w:val="12"/>
              </w:rPr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7F7F7"/>
          </w:tcPr>
          <w:p>
            <w:pPr>
              <w:spacing w:before="0" w:after="0" w:line="240" w:lineRule="auto"/>
              <w:jc w:val="left"/>
            </w:pPr>
            <w:r>
              <w:t>SEMAXEL / Equipo Capstone</w:t>
            </w:r>
            <w:r>
              <w:rPr>
                <w:rFonts w:ascii="Arial" w:hAnsi="Arial"/>
                <w:b w:val="0"/>
                <w:color w:val="1F1F1F"/>
                <w:sz w:val="12"/>
              </w:rPr>
            </w:r>
          </w:p>
        </w:tc>
        <w:tc>
          <w:tcPr>
            <w:tcW w:type="dxa" w:w="122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7F7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No especificada</w:t>
            </w:r>
          </w:p>
        </w:tc>
        <w:tc>
          <w:tcPr>
            <w:tcW w:type="dxa" w:w="20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7F7F7"/>
          </w:tcPr>
          <w:p>
            <w:pPr>
              <w:spacing w:before="0" w:after="0" w:line="240" w:lineRule="auto"/>
              <w:jc w:val="left"/>
            </w:pPr>
            <w:r>
              <w:t>Backend, frontend, lógica de negocio, BD y despliegue</w:t>
            </w:r>
            <w:r>
              <w:rPr>
                <w:rFonts w:ascii="Arial" w:hAnsi="Arial"/>
                <w:b w:val="0"/>
                <w:color w:val="1F1F1F"/>
                <w:sz w:val="12"/>
              </w:rPr>
            </w:r>
          </w:p>
        </w:tc>
        <w:tc>
          <w:tcPr>
            <w:tcW w:type="dxa" w:w="112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7F7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Por definir</w:t>
            </w:r>
          </w:p>
        </w:tc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7F7F7"/>
          </w:tcPr>
          <w:p>
            <w:pPr>
              <w:spacing w:before="0" w:after="0" w:line="240" w:lineRule="auto"/>
              <w:jc w:val="left"/>
            </w:pPr>
            <w:r>
              <w:t>Implementar Django/Python, MySQL, interfaces Bootstrap 5 y lógica de OT/SLA</w:t>
            </w:r>
            <w:r>
              <w:rPr>
                <w:rFonts w:ascii="Arial" w:hAnsi="Arial"/>
                <w:b w:val="0"/>
                <w:color w:val="1F1F1F"/>
                <w:sz w:val="12"/>
              </w:rPr>
            </w:r>
          </w:p>
        </w:tc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7F7F7"/>
          </w:tcPr>
          <w:p>
            <w:pPr>
              <w:spacing w:before="0" w:after="0" w:line="240" w:lineRule="auto"/>
              <w:jc w:val="left"/>
            </w:pPr>
            <w:r>
              <w:t>Backend y frontend estables, integrados y preparados para producción</w:t>
            </w:r>
            <w:r>
              <w:rPr>
                <w:rFonts w:ascii="Arial" w:hAnsi="Arial"/>
                <w:b w:val="0"/>
                <w:color w:val="1F1F1F"/>
                <w:sz w:val="12"/>
              </w:rPr>
            </w:r>
          </w:p>
        </w:tc>
        <w:tc>
          <w:tcPr>
            <w:tcW w:type="dxa" w:w="103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7F7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Alto</w:t>
            </w:r>
          </w:p>
        </w:tc>
      </w:tr>
      <w:tr>
        <w:trPr>
          <w:trHeight w:val="690" w:hRule="atLeast"/>
        </w:trPr>
        <w:tc>
          <w:tcPr>
            <w:tcW w:type="dxa" w:w="1655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Sebastián Maturana</w:t>
            </w:r>
          </w:p>
        </w:tc>
        <w:tc>
          <w:tcPr>
            <w:tcW w:type="dxa" w:w="151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before="0" w:after="0" w:line="240" w:lineRule="auto"/>
              <w:jc w:val="left"/>
            </w:pPr>
            <w:r>
              <w:t>Líder Técnico</w:t>
            </w:r>
            <w:r>
              <w:rPr>
                <w:rFonts w:ascii="Arial" w:hAnsi="Arial"/>
                <w:b w:val="0"/>
                <w:color w:val="1F1F1F"/>
                <w:sz w:val="12"/>
              </w:rPr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before="0" w:after="0" w:line="240" w:lineRule="auto"/>
              <w:jc w:val="left"/>
            </w:pPr>
            <w:r>
              <w:t>SEMAXEL / Equipo Capstone</w:t>
            </w:r>
            <w:r>
              <w:rPr>
                <w:rFonts w:ascii="Arial" w:hAnsi="Arial"/>
                <w:b w:val="0"/>
                <w:color w:val="1F1F1F"/>
                <w:sz w:val="12"/>
              </w:rPr>
            </w:r>
          </w:p>
        </w:tc>
        <w:tc>
          <w:tcPr>
            <w:tcW w:type="dxa" w:w="122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No especificada</w:t>
            </w:r>
          </w:p>
        </w:tc>
        <w:tc>
          <w:tcPr>
            <w:tcW w:type="dxa" w:w="20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before="0" w:after="0" w:line="240" w:lineRule="auto"/>
              <w:jc w:val="left"/>
            </w:pPr>
            <w:r>
              <w:t>Arquitectura técnica, calidad de código y coordinación técnica del equipo</w:t>
            </w:r>
            <w:r>
              <w:rPr>
                <w:rFonts w:ascii="Arial" w:hAnsi="Arial"/>
                <w:b w:val="0"/>
                <w:color w:val="1F1F1F"/>
                <w:sz w:val="12"/>
              </w:rPr>
            </w:r>
          </w:p>
        </w:tc>
        <w:tc>
          <w:tcPr>
            <w:tcW w:type="dxa" w:w="112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Por definir</w:t>
            </w:r>
          </w:p>
        </w:tc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before="0" w:after="0" w:line="240" w:lineRule="auto"/>
              <w:jc w:val="left"/>
            </w:pPr>
            <w:r>
              <w:t>Definir arquitectura, revisar código y asegurar estándares técnicos del equipo</w:t>
            </w:r>
            <w:r>
              <w:rPr>
                <w:rFonts w:ascii="Arial" w:hAnsi="Arial"/>
                <w:b w:val="0"/>
                <w:color w:val="1F1F1F"/>
                <w:sz w:val="12"/>
              </w:rPr>
            </w:r>
          </w:p>
        </w:tc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before="0" w:after="0" w:line="240" w:lineRule="auto"/>
              <w:jc w:val="left"/>
            </w:pPr>
            <w:r>
              <w:t>Arquitectura sólida, código mantenible y consistencia técnica en todo el sistema</w:t>
            </w:r>
            <w:r>
              <w:rPr>
                <w:rFonts w:ascii="Arial" w:hAnsi="Arial"/>
                <w:b w:val="0"/>
                <w:color w:val="1F1F1F"/>
                <w:sz w:val="12"/>
              </w:rPr>
            </w:r>
          </w:p>
        </w:tc>
        <w:tc>
          <w:tcPr>
            <w:tcW w:type="dxa" w:w="103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Alto</w:t>
            </w:r>
          </w:p>
        </w:tc>
      </w:tr>
      <w:tr>
        <w:trPr>
          <w:trHeight w:val="690" w:hRule="atLeast"/>
        </w:trPr>
        <w:tc>
          <w:tcPr>
            <w:tcW w:type="dxa" w:w="1655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7F7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Cindy Contador</w:t>
            </w:r>
          </w:p>
        </w:tc>
        <w:tc>
          <w:tcPr>
            <w:tcW w:type="dxa" w:w="151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7F7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Docente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7F7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Duoc UC</w:t>
            </w:r>
          </w:p>
        </w:tc>
        <w:tc>
          <w:tcPr>
            <w:tcW w:type="dxa" w:w="122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7F7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No especificada</w:t>
            </w:r>
          </w:p>
        </w:tc>
        <w:tc>
          <w:tcPr>
            <w:tcW w:type="dxa" w:w="20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7F7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Supervisión y evaluación académica</w:t>
            </w:r>
          </w:p>
        </w:tc>
        <w:tc>
          <w:tcPr>
            <w:tcW w:type="dxa" w:w="112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7F7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Por definir</w:t>
            </w:r>
          </w:p>
        </w:tc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7F7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Evidencia de planificación, metodología, documentación y avance</w:t>
            </w:r>
          </w:p>
        </w:tc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7F7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Proyecto coherente, documentado y defendible académicamente</w:t>
            </w:r>
          </w:p>
        </w:tc>
        <w:tc>
          <w:tcPr>
            <w:tcW w:type="dxa" w:w="103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7F7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Alto</w:t>
            </w:r>
          </w:p>
        </w:tc>
      </w:tr>
      <w:tr>
        <w:trPr>
          <w:trHeight w:val="690" w:hRule="atLeast"/>
        </w:trPr>
        <w:tc>
          <w:tcPr>
            <w:tcW w:type="dxa" w:w="1655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Gerencia de Operaciones</w:t>
            </w:r>
          </w:p>
        </w:tc>
        <w:tc>
          <w:tcPr>
            <w:tcW w:type="dxa" w:w="151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Gestión operacional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Cadena de retail</w:t>
            </w:r>
          </w:p>
        </w:tc>
        <w:tc>
          <w:tcPr>
            <w:tcW w:type="dxa" w:w="122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Operación / sucursales</w:t>
            </w:r>
          </w:p>
        </w:tc>
        <w:tc>
          <w:tcPr>
            <w:tcW w:type="dxa" w:w="20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Usuario gerencial y decisor operacional</w:t>
            </w:r>
          </w:p>
        </w:tc>
        <w:tc>
          <w:tcPr>
            <w:tcW w:type="dxa" w:w="112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Por definir</w:t>
            </w:r>
          </w:p>
        </w:tc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Trazabilidad, control de SLA, costos, inactividad y KPIs</w:t>
            </w:r>
          </w:p>
        </w:tc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Reducir pérdidas y mejorar el control del mantenimiento</w:t>
            </w:r>
          </w:p>
        </w:tc>
        <w:tc>
          <w:tcPr>
            <w:tcW w:type="dxa" w:w="103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Alto</w:t>
            </w:r>
          </w:p>
        </w:tc>
      </w:tr>
      <w:tr>
        <w:trPr>
          <w:trHeight w:val="690" w:hRule="atLeast"/>
        </w:trPr>
        <w:tc>
          <w:tcPr>
            <w:tcW w:type="dxa" w:w="1655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7F7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Encargados de Local</w:t>
            </w:r>
          </w:p>
        </w:tc>
        <w:tc>
          <w:tcPr>
            <w:tcW w:type="dxa" w:w="151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7F7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Usuario operativo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7F7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Cadena de retail</w:t>
            </w:r>
          </w:p>
        </w:tc>
        <w:tc>
          <w:tcPr>
            <w:tcW w:type="dxa" w:w="122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7F7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Sucursales retail</w:t>
            </w:r>
          </w:p>
        </w:tc>
        <w:tc>
          <w:tcPr>
            <w:tcW w:type="dxa" w:w="20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7F7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Reportar incidencias y consultar su estado</w:t>
            </w:r>
          </w:p>
        </w:tc>
        <w:tc>
          <w:tcPr>
            <w:tcW w:type="dxa" w:w="112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7F7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Por definir</w:t>
            </w:r>
          </w:p>
        </w:tc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7F7F7"/>
          </w:tcPr>
          <w:p>
            <w:pPr>
              <w:spacing w:before="0" w:after="0" w:line="240" w:lineRule="auto"/>
              <w:jc w:val="left"/>
            </w:pPr>
            <w:r>
              <w:t>Reporte rápido por selección manual, visibilidad del ticket y respuesta oportuna</w:t>
            </w:r>
            <w:r>
              <w:rPr>
                <w:rFonts w:ascii="Arial" w:hAnsi="Arial"/>
                <w:b w:val="0"/>
                <w:color w:val="1F1F1F"/>
                <w:sz w:val="12"/>
              </w:rPr>
            </w:r>
          </w:p>
        </w:tc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7F7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Menos demoras y mayor visibilidad del estado de requerimientos</w:t>
            </w:r>
          </w:p>
        </w:tc>
        <w:tc>
          <w:tcPr>
            <w:tcW w:type="dxa" w:w="103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7F7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Medio</w:t>
            </w:r>
          </w:p>
        </w:tc>
      </w:tr>
      <w:tr>
        <w:trPr>
          <w:trHeight w:val="690" w:hRule="atLeast"/>
        </w:trPr>
        <w:tc>
          <w:tcPr>
            <w:tcW w:type="dxa" w:w="1655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Técnicos de Terreno</w:t>
            </w:r>
          </w:p>
        </w:tc>
        <w:tc>
          <w:tcPr>
            <w:tcW w:type="dxa" w:w="151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Usuario técnico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Cadena de retail / mantenimiento</w:t>
            </w:r>
          </w:p>
        </w:tc>
        <w:tc>
          <w:tcPr>
            <w:tcW w:type="dxa" w:w="122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Terreno y sucursales</w:t>
            </w:r>
          </w:p>
        </w:tc>
        <w:tc>
          <w:tcPr>
            <w:tcW w:type="dxa" w:w="20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Atender y actualizar Órdenes de Trabajo</w:t>
            </w:r>
          </w:p>
        </w:tc>
        <w:tc>
          <w:tcPr>
            <w:tcW w:type="dxa" w:w="112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Por definir</w:t>
            </w:r>
          </w:p>
        </w:tc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Priorización clara, asignación de OT, seguimiento SLA y acceso móvil</w:t>
            </w:r>
          </w:p>
        </w:tc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Rutas y tickets organizados; cierre ágil de trabajos</w:t>
            </w:r>
          </w:p>
        </w:tc>
        <w:tc>
          <w:tcPr>
            <w:tcW w:type="dxa" w:w="103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Medio</w:t>
            </w:r>
          </w:p>
        </w:tc>
      </w:tr>
      <w:tr>
        <w:trPr>
          <w:trHeight w:val="690" w:hRule="atLeast"/>
        </w:trPr>
        <w:tc>
          <w:tcPr>
            <w:tcW w:type="dxa" w:w="1655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7F7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Administradores del sistema</w:t>
            </w:r>
          </w:p>
        </w:tc>
        <w:tc>
          <w:tcPr>
            <w:tcW w:type="dxa" w:w="151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7F7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Usuario administrador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7F7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Organización usuaria</w:t>
            </w:r>
          </w:p>
        </w:tc>
        <w:tc>
          <w:tcPr>
            <w:tcW w:type="dxa" w:w="122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7F7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Plataforma web</w:t>
            </w:r>
          </w:p>
        </w:tc>
        <w:tc>
          <w:tcPr>
            <w:tcW w:type="dxa" w:w="20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7F7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Gestionar accesos, roles y operación del sistema</w:t>
            </w:r>
          </w:p>
        </w:tc>
        <w:tc>
          <w:tcPr>
            <w:tcW w:type="dxa" w:w="112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7F7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Por definir</w:t>
            </w:r>
          </w:p>
        </w:tc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7F7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Autenticación, roles, activos, sucursales y consistencia de datos</w:t>
            </w:r>
          </w:p>
        </w:tc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7F7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Administración segura, controlada y trazable</w:t>
            </w:r>
          </w:p>
        </w:tc>
        <w:tc>
          <w:tcPr>
            <w:tcW w:type="dxa" w:w="103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7F7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Medio</w:t>
            </w:r>
          </w:p>
        </w:tc>
      </w:tr>
      <w:tr>
        <w:trPr>
          <w:trHeight w:val="690" w:hRule="atLeast"/>
        </w:trPr>
        <w:tc>
          <w:tcPr>
            <w:tcW w:type="dxa" w:w="1655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Dirección / Empresa usuaria</w:t>
            </w:r>
          </w:p>
        </w:tc>
        <w:tc>
          <w:tcPr>
            <w:tcW w:type="dxa" w:w="151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Cliente organizacional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Cadena de retail</w:t>
            </w:r>
          </w:p>
        </w:tc>
        <w:tc>
          <w:tcPr>
            <w:tcW w:type="dxa" w:w="122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Nivel corporativo</w:t>
            </w:r>
          </w:p>
        </w:tc>
        <w:tc>
          <w:tcPr>
            <w:tcW w:type="dxa" w:w="20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Beneficiario y decisor de adopción</w:t>
            </w:r>
          </w:p>
        </w:tc>
        <w:tc>
          <w:tcPr>
            <w:tcW w:type="dxa" w:w="112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Por definir</w:t>
            </w:r>
          </w:p>
        </w:tc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Disponibilidad, trazabilidad, datos auditables y reducción de costos</w:t>
            </w:r>
          </w:p>
        </w:tc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Retorno operativo y mantenimiento preventivo medible</w:t>
            </w:r>
          </w:p>
        </w:tc>
        <w:tc>
          <w:tcPr>
            <w:tcW w:type="dxa" w:w="103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1F1F"/>
                <w:sz w:val="12"/>
              </w:rPr>
              <w:t>Alto</w:t>
            </w:r>
          </w:p>
        </w:tc>
      </w:tr>
    </w:tbl>
    <w:p>
      <w:pPr>
        <w:spacing w:before="0" w:after="40"/>
      </w:pPr>
      <w:r>
        <w:rPr>
          <w:rFonts w:ascii="Arial" w:hAnsi="Arial"/>
          <w:i/>
          <w:color w:val="555555"/>
          <w:sz w:val="15"/>
        </w:rPr>
        <w:t>Nota: Los datos de contacto y ubicaciones no especificados en el informe quedan “Por definir”.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567" w:right="454" w:bottom="567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