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 w:cs="Arial" w:eastAsia="Arial"/>
          <w:b/>
          <w:i w:val="0"/>
          <w:color w:val="17365D"/>
          <w:sz w:val="40"/>
        </w:rPr>
        <w:t>Mapa de actores - SEMAXEL</w:t>
      </w:r>
    </w:p>
    <w:p>
      <w:pPr>
        <w:spacing w:after="200"/>
      </w:pPr>
      <w:r>
        <w:rPr>
          <w:rFonts w:ascii="Arial" w:hAnsi="Arial" w:cs="Arial" w:eastAsia="Arial"/>
          <w:b w:val="0"/>
          <w:i w:val="0"/>
          <w:color w:val="555555"/>
          <w:sz w:val="22"/>
        </w:rPr>
        <w:t>Proyecto Capstone | Gestión de personal técnico y mantenimiento de infraestructura</w:t>
      </w:r>
    </w:p>
    <w:p>
      <w:pPr>
        <w:spacing w:after="160"/>
      </w:pPr>
      <w:r>
        <w:rPr>
          <w:rFonts w:ascii="Arial" w:hAnsi="Arial" w:cs="Arial" w:eastAsia="Arial"/>
          <w:b w:val="0"/>
          <w:i w:val="0"/>
          <w:color w:val="1F1F1F"/>
          <w:sz w:val="22"/>
        </w:rPr>
        <w:t>Actores principales del proyecto y cómo se relacionan e influyen entre sí en el flujo de mantenimiento: desde que se reporta una falla hasta que el trabajo se cierra y se califica.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621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actor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621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 w:cs="Arial" w:eastAsia="Arial"/>
          <w:b w:val="0"/>
          <w:i/>
          <w:color w:val="555555"/>
          <w:sz w:val="18"/>
        </w:rPr>
        <w:t>Figura 1. Relaciones entre los tres actores principales de SEMAXEL.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58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Actor</w:t>
            </w:r>
          </w:p>
        </w:tc>
        <w:tc>
          <w:tcPr>
            <w:tcW w:type="dxa" w:w="1872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Rol en SEMAXEL</w:t>
            </w:r>
          </w:p>
        </w:tc>
        <w:tc>
          <w:tcPr>
            <w:tcW w:type="dxa" w:w="230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Interés</w:t>
            </w:r>
          </w:p>
        </w:tc>
        <w:tc>
          <w:tcPr>
            <w:tcW w:type="dxa" w:w="2304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Influencia</w:t>
            </w:r>
          </w:p>
        </w:tc>
        <w:tc>
          <w:tcPr>
            <w:tcW w:type="dxa" w:w="2592"/>
            <w:shd w:val="clear" w:color="auto" w:fill="17365D"/>
          </w:tcPr>
          <w:p>
            <w:r/>
            <w:r>
              <w:rPr>
                <w:rFonts w:ascii="Arial" w:hAnsi="Arial" w:cs="Arial" w:eastAsia="Arial"/>
                <w:b/>
                <w:i w:val="0"/>
                <w:color w:val="FFFFFF"/>
                <w:sz w:val="19"/>
              </w:rPr>
              <w:t>Relación en el flujo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 w:cs="Arial" w:eastAsia="Arial"/>
                <w:b/>
                <w:i w:val="0"/>
                <w:color w:val="1F1F1F"/>
                <w:sz w:val="18"/>
              </w:rPr>
              <w:t>Cliente Retail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Encargado de Local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Alto: necesita que las fallas de su local se reparen a tiempo.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Media: origina la demanda y califica el servicio recibido.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Reporta la falla (crea el ticket, con fotos opcionales), confirma el cierre y califica al técnico.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 w:cs="Arial" w:eastAsia="Arial"/>
                <w:b/>
                <w:i w:val="0"/>
                <w:color w:val="1F1F1F"/>
                <w:sz w:val="18"/>
              </w:rPr>
              <w:t>Administrador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Admin / Gestor de la empresa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Alto: responde por la operación y el cumplimiento del SLA.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Alta: define las sucursales, publica ofertas y supervisa el SLA y los reportes.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Publica la oferta de trabajo y supervisa el avance y el cumplimiento del SLA, que el sistema calcula automáticamente.</w:t>
            </w:r>
          </w:p>
        </w:tc>
      </w:tr>
      <w:tr>
        <w:tc>
          <w:tcPr>
            <w:tcW w:type="dxa" w:w="1584"/>
          </w:tcPr>
          <w:p>
            <w:r/>
            <w:r>
              <w:rPr>
                <w:rFonts w:ascii="Arial" w:hAnsi="Arial" w:cs="Arial" w:eastAsia="Arial"/>
                <w:b/>
                <w:i w:val="0"/>
                <w:color w:val="1F1F1F"/>
                <w:sz w:val="18"/>
              </w:rPr>
              <w:t>Técnico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Técnico de terreno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Alto: el sistema es su fuente de trabajo.</w:t>
            </w:r>
          </w:p>
        </w:tc>
        <w:tc>
          <w:tcPr>
            <w:tcW w:type="dxa" w:w="2304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Media: decide qué ofertas tomar, según su especialidad.</w:t>
            </w:r>
          </w:p>
        </w:tc>
        <w:tc>
          <w:tcPr>
            <w:tcW w:type="dxa" w:w="2592"/>
          </w:tcPr>
          <w:p>
            <w:r/>
            <w:r>
              <w:rPr>
                <w:rFonts w:ascii="Arial" w:hAnsi="Arial" w:cs="Arial" w:eastAsia="Arial"/>
                <w:b w:val="0"/>
                <w:i w:val="0"/>
                <w:color w:val="1F1F1F"/>
                <w:sz w:val="18"/>
              </w:rPr>
              <w:t>Toma la oferta, ejecuta la orden de trabajo y registra el diagnóstico y el trabajo realizado.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555555"/>
          <w:sz w:val="19"/>
        </w:rPr>
        <w:t>Criterio de lectura: cada flecha representa una interacción del flujo de mantenimiento, numerada en el orden en que ocurre. El nivel de influencia indica cuánto puede decidir cada actor sobre la operación; el interés, cuánto le afecta el resultado.</w:t>
      </w:r>
    </w:p>
    <w:p>
      <w:pPr>
        <w:spacing w:after="120"/>
      </w:pPr>
      <w:r>
        <w:rPr>
          <w:rFonts w:ascii="Arial" w:hAnsi="Arial" w:cs="Arial" w:eastAsia="Arial"/>
          <w:b w:val="0"/>
          <w:i w:val="0"/>
          <w:color w:val="555555"/>
          <w:sz w:val="19"/>
        </w:rPr>
        <w:t>Simplificación: en el sistema, el Encargado de Local también puede publicar ofertas; el mapa muestra el flujo habitual. Los demás interesados (docente, Gerencia de Operaciones e integrantes del equipo) se detallan en el Registro de Interesados.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