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BFE5"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485092B9" w14:textId="77777777" w:rsidTr="25FC3610">
        <w:trPr>
          <w:trHeight w:val="2192"/>
        </w:trPr>
        <w:tc>
          <w:tcPr>
            <w:tcW w:w="0" w:type="auto"/>
          </w:tcPr>
          <w:p w14:paraId="529A97EC"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0FC30983"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56199C85"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3CE9D210"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2F9687F0"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712C7B6A" w14:textId="77777777" w:rsidR="002C4FB7" w:rsidRDefault="002C4FB7" w:rsidP="3D28A338">
      <w:pPr>
        <w:spacing w:after="0" w:line="360" w:lineRule="auto"/>
        <w:jc w:val="both"/>
        <w:rPr>
          <w:b/>
          <w:bCs/>
          <w:sz w:val="24"/>
          <w:szCs w:val="24"/>
        </w:rPr>
      </w:pPr>
    </w:p>
    <w:p w14:paraId="528775E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D97DD56" w14:textId="77777777" w:rsidTr="3D28A338">
        <w:trPr>
          <w:trHeight w:val="440"/>
        </w:trPr>
        <w:tc>
          <w:tcPr>
            <w:tcW w:w="10076" w:type="dxa"/>
            <w:vAlign w:val="center"/>
          </w:tcPr>
          <w:p w14:paraId="31C354C5"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334C1EFF" w14:textId="77777777" w:rsidTr="3D28A338">
        <w:trPr>
          <w:trHeight w:val="1639"/>
        </w:trPr>
        <w:tc>
          <w:tcPr>
            <w:tcW w:w="10076" w:type="dxa"/>
            <w:shd w:val="clear" w:color="auto" w:fill="DEEAF6" w:themeFill="accent1" w:themeFillTint="33"/>
            <w:vAlign w:val="center"/>
          </w:tcPr>
          <w:p w14:paraId="361308EE"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D69CFDF" w14:textId="77777777" w:rsidR="00401C92" w:rsidRDefault="00401C92">
            <w:pPr>
              <w:spacing w:after="80" w:line="276" w:lineRule="auto"/>
              <w:rPr>
                <w:rFonts w:ascii="Arial" w:hAnsi="Arial"/>
                <w:sz w:val="20"/>
              </w:rPr>
            </w:pPr>
          </w:p>
          <w:p w14:paraId="129D362B" w14:textId="5EB97FD4" w:rsidR="00EB5C5F" w:rsidRDefault="00000000">
            <w:pPr>
              <w:spacing w:after="80" w:line="276" w:lineRule="auto"/>
            </w:pPr>
            <w:r>
              <w:rPr>
                <w:rFonts w:ascii="Arial" w:hAnsi="Arial"/>
                <w:sz w:val="20"/>
              </w:rPr>
              <w:t>Sí, hemos cumplido las actividades troncales en los plazos definidos dentro de nuestro Roadmap_SEMAXEL.xlsx (16 semanas organizadas en 4 Sprints de 4 semanas, con hitos de cierre en S4: 03/09/2026, S8: 01/10/2026, S12: 29/10/2026 y S16: 26/11/2026) y nuestro Sprint_Backlog_SEMAXEL(2).xlsx trazado en Jira (épicas SMX-36 a SMX-39 y tareas SMX-43 a SMX-81).</w:t>
            </w:r>
          </w:p>
          <w:p w14:paraId="3433D335" w14:textId="77777777" w:rsidR="00EB5C5F" w:rsidRDefault="00000000">
            <w:pPr>
              <w:spacing w:after="80" w:line="276" w:lineRule="auto"/>
            </w:pPr>
            <w:r>
              <w:rPr>
                <w:rFonts w:ascii="Arial" w:hAnsi="Arial"/>
                <w:b/>
                <w:sz w:val="20"/>
              </w:rPr>
              <w:t>Factores facilitadores:</w:t>
            </w:r>
            <w:r>
              <w:rPr>
                <w:rFonts w:ascii="Arial" w:hAnsi="Arial"/>
                <w:sz w:val="20"/>
              </w:rPr>
              <w:t xml:space="preserve"> (1) La arquitectura modular en Python 3.10 y Django 5.2 (9 aplicaciones: accounts, empresas, sucursales, tecnicos, tickets, ofertas, sla, mantenimiento y dashboard) que agilizó la creación del ORM y las migraciones hacia MySQL 8; (2) El uso coordinado de Jira (Product Backlog) y GitHub (repositorio Capstone-SEMAXEL) para versionar código sin conflictos; y (3) El uso de Bootstrap 5 y Chart.js para construir interfaces responsivas y gráficos ejecutivos rápidamente.</w:t>
            </w:r>
          </w:p>
          <w:p w14:paraId="433A6BF3" w14:textId="77777777" w:rsidR="00EB5C5F" w:rsidRDefault="00000000">
            <w:pPr>
              <w:spacing w:after="80" w:line="276" w:lineRule="auto"/>
            </w:pPr>
            <w:r>
              <w:rPr>
                <w:rFonts w:ascii="Arial" w:hAnsi="Arial"/>
                <w:b/>
                <w:sz w:val="20"/>
              </w:rPr>
              <w:t>Factores dificultadores:</w:t>
            </w:r>
            <w:r>
              <w:rPr>
                <w:rFonts w:ascii="Arial" w:hAnsi="Arial"/>
                <w:sz w:val="20"/>
              </w:rPr>
              <w:t xml:space="preserve"> (1) El sobredimensionamiento inicial del alcance en la Fase 1 (donde se contempló una PWA con soporte offline/service workers, motor de asignación automática complejo y calendario visual interactivo en SMX-79); y (2) La complejidad técnica de asegurar el aislamiento multiempresa (multi-tenant) por fila para que cada Encargado de Local vea solo su sucursal mientras los Técnicos de Terreno acceden a un marketplace global de ofertas según su especialidad.</w:t>
            </w:r>
          </w:p>
        </w:tc>
      </w:tr>
    </w:tbl>
    <w:p w14:paraId="0A4DEEB0"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66E2008" w14:textId="77777777" w:rsidTr="3D28A338">
        <w:trPr>
          <w:trHeight w:val="440"/>
        </w:trPr>
        <w:tc>
          <w:tcPr>
            <w:tcW w:w="10076" w:type="dxa"/>
            <w:vAlign w:val="center"/>
          </w:tcPr>
          <w:p w14:paraId="6ACA8571"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572302D9" w14:textId="77777777" w:rsidTr="3D28A338">
        <w:trPr>
          <w:trHeight w:val="1639"/>
        </w:trPr>
        <w:tc>
          <w:tcPr>
            <w:tcW w:w="10076" w:type="dxa"/>
            <w:shd w:val="clear" w:color="auto" w:fill="DEEAF6" w:themeFill="accent1" w:themeFillTint="33"/>
            <w:vAlign w:val="center"/>
          </w:tcPr>
          <w:p w14:paraId="79CFC6F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310FFDF" w14:textId="77777777" w:rsidR="004F2A8B" w:rsidRDefault="004F2A8B" w:rsidP="3D28A338">
            <w:pPr>
              <w:jc w:val="both"/>
              <w:rPr>
                <w:rFonts w:ascii="Calibri" w:hAnsi="Calibri"/>
                <w:b/>
                <w:bCs/>
                <w:color w:val="1F4E79" w:themeColor="accent1" w:themeShade="80"/>
              </w:rPr>
            </w:pPr>
          </w:p>
          <w:p w14:paraId="5616E73C" w14:textId="77777777" w:rsidR="00EB5C5F" w:rsidRDefault="00000000">
            <w:pPr>
              <w:spacing w:after="80" w:line="276" w:lineRule="auto"/>
            </w:pPr>
            <w:r>
              <w:rPr>
                <w:rFonts w:ascii="Arial" w:hAnsi="Arial"/>
                <w:sz w:val="20"/>
              </w:rPr>
              <w:t>Enfrentamos las dificultades aplicando tres acciones concretas de inspección y adaptación en Scrum:</w:t>
            </w:r>
          </w:p>
          <w:p w14:paraId="47B1CF39" w14:textId="77777777" w:rsidR="00EB5C5F" w:rsidRDefault="00000000">
            <w:pPr>
              <w:spacing w:after="80" w:line="276" w:lineRule="auto"/>
            </w:pPr>
            <w:r>
              <w:rPr>
                <w:rFonts w:ascii="Arial" w:hAnsi="Arial"/>
                <w:b/>
                <w:sz w:val="20"/>
              </w:rPr>
              <w:t>1. Sinceramiento y ajuste formal del Alcance del MVP:</w:t>
            </w:r>
            <w:r>
              <w:rPr>
                <w:rFonts w:ascii="Arial" w:hAnsi="Arial"/>
                <w:sz w:val="20"/>
              </w:rPr>
              <w:t xml:space="preserve"> Se definió el criterio 'implementable y demostrable en base de datos'. Se descartó la PWA offline en favor de una Aplicación Web Responsiva Multiempresa, se reemplazó la vista de calendario visual (HU-13_14 / SMX-79) por un módulo de planes y programaciones preventivas en listado con autogeneración de tickets al vencer la fecha programada, y se implementó la </w:t>
            </w:r>
            <w:r>
              <w:rPr>
                <w:rFonts w:ascii="Arial" w:hAnsi="Arial"/>
                <w:sz w:val="20"/>
              </w:rPr>
              <w:lastRenderedPageBreak/>
              <w:t>asignación técnica mediante un Marketplace de Ofertas con autoselección validada por especialidad (HU-06 / SMX-75).</w:t>
            </w:r>
          </w:p>
          <w:p w14:paraId="0B67A32A" w14:textId="77777777" w:rsidR="00EB5C5F" w:rsidRDefault="00000000">
            <w:pPr>
              <w:spacing w:after="80" w:line="276" w:lineRule="auto"/>
            </w:pPr>
            <w:r>
              <w:rPr>
                <w:rFonts w:ascii="Arial" w:hAnsi="Arial"/>
                <w:b/>
                <w:sz w:val="20"/>
              </w:rPr>
              <w:t>2. Centralización de permisos y seguridad RBAC (accounts/roles.py):</w:t>
            </w:r>
            <w:r>
              <w:rPr>
                <w:rFonts w:ascii="Arial" w:hAnsi="Arial"/>
                <w:sz w:val="20"/>
              </w:rPr>
              <w:t xml:space="preserve"> Dentro de las tareas SMX-65, SMX-66 y SMX-68 (HU-15 y HU-08), implementamos 5 roles diferenciados (ADMIN, GESTOR, ENCARGADO, GERENCIA y TECNICO), decoradores @rol_requerido y querysets filtrados por alcance (empresas_visibles, sucursales_visibles, tickets_visibles) con separación estricta entre permisos de lectura y escritura.</w:t>
            </w:r>
          </w:p>
          <w:p w14:paraId="21EB337D" w14:textId="77777777" w:rsidR="00EB5C5F" w:rsidRDefault="00000000">
            <w:pPr>
              <w:spacing w:after="80" w:line="276" w:lineRule="auto"/>
            </w:pPr>
            <w:r>
              <w:rPr>
                <w:rFonts w:ascii="Arial" w:hAnsi="Arial"/>
                <w:b/>
                <w:sz w:val="20"/>
              </w:rPr>
              <w:t>3. Datos de prueba representativos del sector retail:</w:t>
            </w:r>
            <w:r>
              <w:rPr>
                <w:rFonts w:ascii="Arial" w:hAnsi="Arial"/>
                <w:sz w:val="20"/>
              </w:rPr>
              <w:t xml:space="preserve"> Ante la falta de una contraparte comercial real confirmada, estructuramos un escenario representativo de cadenas de 5 a 20 sucursales (incluyendo el caso de estudio hipotético de Salcobrand y empresas cargadas en MySQL como SEMAXEL, TecnoMant SPA y Arcos Plateados) para validar de extremo a extremo todas las reglas de negocio.</w:t>
            </w:r>
          </w:p>
        </w:tc>
      </w:tr>
    </w:tbl>
    <w:p w14:paraId="753120C3" w14:textId="77777777" w:rsidR="004F2A8B" w:rsidRDefault="004F2A8B" w:rsidP="3D28A338">
      <w:pPr>
        <w:spacing w:after="0" w:line="360" w:lineRule="auto"/>
        <w:jc w:val="both"/>
        <w:rPr>
          <w:color w:val="595959" w:themeColor="text1" w:themeTint="A6"/>
          <w:sz w:val="24"/>
          <w:szCs w:val="24"/>
          <w:lang w:eastAsia="ja-JP"/>
        </w:rPr>
      </w:pPr>
    </w:p>
    <w:p w14:paraId="78C2C230" w14:textId="77777777" w:rsidR="004F2A8B" w:rsidRDefault="004F2A8B" w:rsidP="3D28A338">
      <w:pPr>
        <w:spacing w:after="0" w:line="360" w:lineRule="auto"/>
        <w:jc w:val="both"/>
        <w:rPr>
          <w:b/>
          <w:bCs/>
          <w:sz w:val="24"/>
          <w:szCs w:val="24"/>
        </w:rPr>
      </w:pPr>
    </w:p>
    <w:p w14:paraId="62A09443" w14:textId="77777777" w:rsidR="004F2A8B" w:rsidRDefault="004F2A8B" w:rsidP="3D28A338">
      <w:pPr>
        <w:spacing w:after="0" w:line="360" w:lineRule="auto"/>
        <w:jc w:val="both"/>
        <w:rPr>
          <w:b/>
          <w:bCs/>
          <w:sz w:val="24"/>
          <w:szCs w:val="24"/>
        </w:rPr>
      </w:pPr>
    </w:p>
    <w:p w14:paraId="4564ACAD" w14:textId="77777777" w:rsidR="00B25651" w:rsidRDefault="00B25651" w:rsidP="3D28A338">
      <w:pPr>
        <w:spacing w:after="0" w:line="360" w:lineRule="auto"/>
        <w:jc w:val="both"/>
        <w:rPr>
          <w:b/>
          <w:bCs/>
          <w:sz w:val="24"/>
          <w:szCs w:val="24"/>
        </w:rPr>
      </w:pPr>
    </w:p>
    <w:p w14:paraId="424136A0" w14:textId="77777777" w:rsidR="00B25651" w:rsidRDefault="00B25651" w:rsidP="3D28A338">
      <w:pPr>
        <w:spacing w:after="0" w:line="360" w:lineRule="auto"/>
        <w:jc w:val="both"/>
        <w:rPr>
          <w:b/>
          <w:bCs/>
          <w:sz w:val="24"/>
          <w:szCs w:val="24"/>
        </w:rPr>
      </w:pPr>
    </w:p>
    <w:p w14:paraId="5AD9606E" w14:textId="77777777" w:rsidR="004F2A8B" w:rsidRDefault="004F2A8B" w:rsidP="3D28A338">
      <w:pPr>
        <w:spacing w:after="0" w:line="360" w:lineRule="auto"/>
        <w:jc w:val="both"/>
        <w:rPr>
          <w:b/>
          <w:bCs/>
          <w:sz w:val="24"/>
          <w:szCs w:val="24"/>
        </w:rPr>
      </w:pPr>
    </w:p>
    <w:p w14:paraId="605540AA" w14:textId="77777777" w:rsidR="004F2A8B" w:rsidRDefault="004F2A8B" w:rsidP="3D28A338">
      <w:pPr>
        <w:spacing w:after="0" w:line="360" w:lineRule="auto"/>
        <w:jc w:val="both"/>
        <w:rPr>
          <w:b/>
          <w:bCs/>
          <w:sz w:val="24"/>
          <w:szCs w:val="24"/>
        </w:rPr>
      </w:pPr>
    </w:p>
    <w:p w14:paraId="419E9864" w14:textId="77777777" w:rsidR="008B2AC7" w:rsidRDefault="008B2AC7" w:rsidP="3D28A338">
      <w:pPr>
        <w:spacing w:after="0" w:line="360" w:lineRule="auto"/>
        <w:jc w:val="both"/>
        <w:rPr>
          <w:b/>
          <w:bCs/>
          <w:sz w:val="24"/>
          <w:szCs w:val="24"/>
        </w:rPr>
      </w:pPr>
    </w:p>
    <w:p w14:paraId="7C491DF9"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7C4B2A4" w14:textId="77777777" w:rsidTr="3D28A338">
        <w:trPr>
          <w:trHeight w:val="440"/>
        </w:trPr>
        <w:tc>
          <w:tcPr>
            <w:tcW w:w="10076" w:type="dxa"/>
            <w:vAlign w:val="center"/>
          </w:tcPr>
          <w:p w14:paraId="1C0FDE02"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78C75CF6" w14:textId="77777777" w:rsidTr="3D28A338">
        <w:trPr>
          <w:trHeight w:val="1624"/>
        </w:trPr>
        <w:tc>
          <w:tcPr>
            <w:tcW w:w="10076" w:type="dxa"/>
            <w:shd w:val="clear" w:color="auto" w:fill="DEEAF6" w:themeFill="accent1" w:themeFillTint="33"/>
            <w:vAlign w:val="center"/>
          </w:tcPr>
          <w:p w14:paraId="4006151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464198D" w14:textId="77777777" w:rsidR="004F2A8B" w:rsidRDefault="004F2A8B" w:rsidP="3D28A338">
            <w:pPr>
              <w:jc w:val="both"/>
              <w:rPr>
                <w:rFonts w:ascii="Calibri" w:hAnsi="Calibri"/>
                <w:b/>
                <w:bCs/>
                <w:color w:val="1F4E79" w:themeColor="accent1" w:themeShade="80"/>
              </w:rPr>
            </w:pPr>
          </w:p>
          <w:p w14:paraId="6685FCE8" w14:textId="77777777" w:rsidR="00EB5C5F" w:rsidRDefault="00000000">
            <w:pPr>
              <w:spacing w:after="80" w:line="276" w:lineRule="auto"/>
            </w:pPr>
            <w:r>
              <w:rPr>
                <w:rFonts w:ascii="Arial" w:hAnsi="Arial"/>
                <w:b/>
                <w:sz w:val="20"/>
              </w:rPr>
              <w:t>Evaluación del trabajo:</w:t>
            </w:r>
            <w:r>
              <w:rPr>
                <w:rFonts w:ascii="Arial" w:hAnsi="Arial"/>
                <w:sz w:val="20"/>
              </w:rPr>
              <w:t xml:space="preserve"> Evaluamos nuestro desempeño como sobresaliente, logrando un MVP 100% operativo, integrado con MySQL 8 y alineado con la documentación técnica de ingeniería.</w:t>
            </w:r>
          </w:p>
          <w:p w14:paraId="3D442DB8" w14:textId="77777777" w:rsidR="00EB5C5F" w:rsidRDefault="00000000">
            <w:pPr>
              <w:spacing w:after="80" w:line="276" w:lineRule="auto"/>
            </w:pPr>
            <w:r>
              <w:rPr>
                <w:rFonts w:ascii="Arial" w:hAnsi="Arial"/>
                <w:b/>
                <w:sz w:val="20"/>
              </w:rPr>
              <w:t>Lo que destacamos:</w:t>
            </w:r>
            <w:r>
              <w:rPr>
                <w:rFonts w:ascii="Arial" w:hAnsi="Arial"/>
                <w:sz w:val="20"/>
              </w:rPr>
              <w:t xml:space="preserve"> La trazabilidad completa y verificable del flujo principal: un Encargado de Local (ej. María González en sucursal Santiago Centro) registra un ticket con correlativo único por empresa (SEMAXEL-00007) y cálculo automático de SLA (SMX-70, SMX-76); publica la oferta con fecha de expiración; un Técnico de Terreno elegible (ej. Carlos Díaz, especialista en Climatización) toma la oferta generando la Orden de Trabajo (#00064); registra diagnóstico, costos y transiciones (Asignada -&gt; En ejecución -&gt; Resuelta); y el Administrador supervisa todo en el Dashboard y módulo de Reportes con Chart.js (SMX-80, SMX-81).</w:t>
            </w:r>
          </w:p>
          <w:p w14:paraId="7B9AB2B9" w14:textId="77777777" w:rsidR="00EB5C5F" w:rsidRDefault="00000000">
            <w:pPr>
              <w:spacing w:after="80" w:line="276" w:lineRule="auto"/>
            </w:pPr>
            <w:r>
              <w:rPr>
                <w:rFonts w:ascii="Arial" w:hAnsi="Arial"/>
                <w:b/>
                <w:sz w:val="20"/>
              </w:rPr>
              <w:t>Lo que podemos mejorar:</w:t>
            </w:r>
            <w:r>
              <w:rPr>
                <w:rFonts w:ascii="Arial" w:hAnsi="Arial"/>
                <w:sz w:val="20"/>
              </w:rPr>
              <w:t xml:space="preserve"> Incrementar la cobertura de pruebas unitarias automatizadas en Django, restringir por completo las acciones de escritura para el perfil GERENCIA en la vista de órdenes de trabajo (dejándolo estrictamente de solo lectura) y finalizar los detalles de despliegue productivo (SMX-63, SMX-64).</w:t>
            </w:r>
          </w:p>
        </w:tc>
      </w:tr>
    </w:tbl>
    <w:p w14:paraId="13465004" w14:textId="77777777" w:rsidR="004F2A8B" w:rsidRDefault="004F2A8B" w:rsidP="3D28A338">
      <w:pPr>
        <w:spacing w:after="0" w:line="360" w:lineRule="auto"/>
        <w:jc w:val="both"/>
        <w:rPr>
          <w:color w:val="595959" w:themeColor="text1" w:themeTint="A6"/>
          <w:sz w:val="24"/>
          <w:szCs w:val="24"/>
          <w:lang w:eastAsia="ja-JP"/>
        </w:rPr>
      </w:pPr>
    </w:p>
    <w:p w14:paraId="0B786CAB"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54616C8" w14:textId="77777777" w:rsidTr="3D28A338">
        <w:trPr>
          <w:trHeight w:val="440"/>
        </w:trPr>
        <w:tc>
          <w:tcPr>
            <w:tcW w:w="10076" w:type="dxa"/>
            <w:vAlign w:val="center"/>
          </w:tcPr>
          <w:p w14:paraId="25ED8CF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47CFB93D" w14:textId="77777777" w:rsidTr="3D28A338">
        <w:trPr>
          <w:trHeight w:val="1639"/>
        </w:trPr>
        <w:tc>
          <w:tcPr>
            <w:tcW w:w="10076" w:type="dxa"/>
            <w:shd w:val="clear" w:color="auto" w:fill="DEEAF6" w:themeFill="accent1" w:themeFillTint="33"/>
            <w:vAlign w:val="center"/>
          </w:tcPr>
          <w:p w14:paraId="0CE4C6D5"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¿Qué inquietudes te quedan sobre cómo proceder? ¿Qué pregunta te gustaría hacerle a tu docente o a tus pares?</w:t>
            </w:r>
          </w:p>
          <w:p w14:paraId="3FAC9A7E" w14:textId="77777777" w:rsidR="004F2A8B" w:rsidRDefault="004F2A8B" w:rsidP="3D28A338">
            <w:pPr>
              <w:jc w:val="both"/>
              <w:rPr>
                <w:rFonts w:ascii="Calibri" w:hAnsi="Calibri"/>
                <w:b/>
                <w:bCs/>
                <w:color w:val="1F4E79" w:themeColor="accent1" w:themeShade="80"/>
              </w:rPr>
            </w:pPr>
          </w:p>
          <w:p w14:paraId="25332987" w14:textId="77777777" w:rsidR="00EB5C5F" w:rsidRDefault="00000000">
            <w:pPr>
              <w:spacing w:after="80" w:line="276" w:lineRule="auto"/>
            </w:pPr>
            <w:r>
              <w:rPr>
                <w:rFonts w:ascii="Arial" w:hAnsi="Arial"/>
                <w:b/>
                <w:sz w:val="20"/>
              </w:rPr>
              <w:t>Inquietudes sobre cómo proceder:</w:t>
            </w:r>
            <w:r>
              <w:rPr>
                <w:rFonts w:ascii="Arial" w:hAnsi="Arial"/>
                <w:sz w:val="20"/>
              </w:rPr>
              <w:t xml:space="preserve"> Nos interesa afinar los criterios de presentación para la defensa ante la comisión evaluadora y validar el alcance informativo de las métricas de SLA en el MVP.</w:t>
            </w:r>
          </w:p>
          <w:p w14:paraId="6CD83018" w14:textId="77777777" w:rsidR="00EB5C5F" w:rsidRDefault="00000000">
            <w:pPr>
              <w:spacing w:after="80" w:line="276" w:lineRule="auto"/>
            </w:pPr>
            <w:r>
              <w:rPr>
                <w:rFonts w:ascii="Arial" w:hAnsi="Arial"/>
                <w:b/>
                <w:sz w:val="20"/>
              </w:rPr>
              <w:t>1.</w:t>
            </w:r>
            <w:r>
              <w:rPr>
                <w:rFonts w:ascii="Arial" w:hAnsi="Arial"/>
                <w:sz w:val="20"/>
              </w:rPr>
              <w:t xml:space="preserve"> 'Considerando que en nuestro MVP el incumplimiento del SLA (HU-07 / SMX-76) es informativo y se refleja en el porcentaje de cumplimiento del Dashboard sobre tickets resueltos/cerrados, ¿considera adecuado este alcance para la entrega final o recomienda agregar un indicador visual de tickets abiertos próximos a vencer?'</w:t>
            </w:r>
          </w:p>
          <w:p w14:paraId="3CBA07F3" w14:textId="77777777" w:rsidR="00EB5C5F" w:rsidRDefault="00000000">
            <w:pPr>
              <w:spacing w:after="80" w:line="276" w:lineRule="auto"/>
            </w:pPr>
            <w:r>
              <w:rPr>
                <w:rFonts w:ascii="Arial" w:hAnsi="Arial"/>
                <w:b/>
                <w:sz w:val="20"/>
              </w:rPr>
              <w:t>2.</w:t>
            </w:r>
            <w:r>
              <w:rPr>
                <w:rFonts w:ascii="Arial" w:hAnsi="Arial"/>
                <w:sz w:val="20"/>
              </w:rPr>
              <w:t xml:space="preserve"> 'Para la defensa oral de 20 minutos ante la comisión, ¿sugiere enfocar la demostración en vivo en los 3 actores principales del flujo operativo (Encargado de Local, Técnico de Terreno y Administrador) tal como lo modelamos en nuestro Mapa de Actores y video demostrativo?'</w:t>
            </w:r>
          </w:p>
        </w:tc>
      </w:tr>
    </w:tbl>
    <w:p w14:paraId="07022956" w14:textId="77777777" w:rsidR="004F2A8B" w:rsidRDefault="004F2A8B" w:rsidP="3D28A338">
      <w:pPr>
        <w:spacing w:after="0" w:line="360" w:lineRule="auto"/>
        <w:jc w:val="both"/>
        <w:rPr>
          <w:color w:val="595959" w:themeColor="text1" w:themeTint="A6"/>
          <w:sz w:val="24"/>
          <w:szCs w:val="24"/>
          <w:lang w:eastAsia="ja-JP"/>
        </w:rPr>
      </w:pPr>
    </w:p>
    <w:p w14:paraId="78F8895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09BD072" w14:textId="77777777" w:rsidTr="3D28A338">
        <w:trPr>
          <w:trHeight w:val="440"/>
        </w:trPr>
        <w:tc>
          <w:tcPr>
            <w:tcW w:w="10076" w:type="dxa"/>
            <w:vAlign w:val="center"/>
          </w:tcPr>
          <w:p w14:paraId="71BA3BF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3BD3E1B9" w14:textId="77777777" w:rsidTr="3D28A338">
        <w:trPr>
          <w:trHeight w:val="1639"/>
        </w:trPr>
        <w:tc>
          <w:tcPr>
            <w:tcW w:w="10076" w:type="dxa"/>
            <w:shd w:val="clear" w:color="auto" w:fill="DEEAF6" w:themeFill="accent1" w:themeFillTint="33"/>
            <w:vAlign w:val="center"/>
          </w:tcPr>
          <w:p w14:paraId="44986B2C"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65454F2" w14:textId="77777777" w:rsidR="004F2A8B" w:rsidRDefault="004F2A8B" w:rsidP="3D28A338">
            <w:pPr>
              <w:jc w:val="both"/>
              <w:rPr>
                <w:rFonts w:eastAsiaTheme="majorEastAsia"/>
                <w:color w:val="767171" w:themeColor="background2" w:themeShade="80"/>
                <w:sz w:val="24"/>
                <w:szCs w:val="24"/>
              </w:rPr>
            </w:pPr>
          </w:p>
          <w:p w14:paraId="55281C33" w14:textId="77777777" w:rsidR="00EB5C5F" w:rsidRDefault="00000000">
            <w:pPr>
              <w:spacing w:after="80" w:line="276" w:lineRule="auto"/>
            </w:pPr>
            <w:r>
              <w:rPr>
                <w:rFonts w:ascii="Arial" w:hAnsi="Arial"/>
                <w:sz w:val="20"/>
              </w:rPr>
              <w:t>La estructura de roles del equipo ha funcionado de forma óptima y se mantiene: Maximiliano Duarte (Scrum Master / Líder QA), Juan Pedro Farías León (Product Owner / Redactor Técnico), Elías Guala (Desarrollador Fullstack) y Sebastián Maturana (Líder Técnico).</w:t>
            </w:r>
          </w:p>
          <w:p w14:paraId="7ECEA558" w14:textId="77777777" w:rsidR="00EB5C5F" w:rsidRDefault="00000000">
            <w:pPr>
              <w:spacing w:after="80" w:line="276" w:lineRule="auto"/>
            </w:pPr>
            <w:r>
              <w:rPr>
                <w:rFonts w:ascii="Arial" w:hAnsi="Arial"/>
                <w:b/>
                <w:sz w:val="20"/>
              </w:rPr>
              <w:t>Redistribución y nuevas actividades para el cierre (Sprint 4):</w:t>
            </w:r>
            <w:r>
              <w:rPr>
                <w:rFonts w:ascii="Arial" w:hAnsi="Arial"/>
                <w:sz w:val="20"/>
              </w:rPr>
              <w:t xml:space="preserve"> Para equilibrar la carga de trabajo reportada en el Sprint Backlog (donde las tareas de codificación SMX-65 a SMX-81 recayeron fuertemente en desarrollo fullstack), se han asignado tareas colaborativas específicas:</w:t>
            </w:r>
          </w:p>
          <w:p w14:paraId="58AA127C" w14:textId="77777777" w:rsidR="00EB5C5F" w:rsidRDefault="00000000">
            <w:pPr>
              <w:spacing w:after="80" w:line="276" w:lineRule="auto"/>
            </w:pPr>
            <w:r>
              <w:rPr>
                <w:rFonts w:ascii="Arial" w:hAnsi="Arial"/>
                <w:b/>
                <w:sz w:val="20"/>
              </w:rPr>
              <w:t>• Juan Pedro Farías León y Maximiliano Duarte:</w:t>
            </w:r>
            <w:r>
              <w:rPr>
                <w:rFonts w:ascii="Arial" w:hAnsi="Arial"/>
                <w:sz w:val="20"/>
              </w:rPr>
              <w:t xml:space="preserve"> Ejecución de pruebas de aceptación UAT multi-rol (QA-04 / SMX-64), actualización de estados en el Sprint Backlog y consolidación de manuales, reglas de negocio y evidencias del repositorio.</w:t>
            </w:r>
          </w:p>
          <w:p w14:paraId="0F940015" w14:textId="77777777" w:rsidR="00EB5C5F" w:rsidRDefault="00000000">
            <w:pPr>
              <w:spacing w:after="80" w:line="276" w:lineRule="auto"/>
            </w:pPr>
            <w:r>
              <w:rPr>
                <w:rFonts w:ascii="Arial" w:hAnsi="Arial"/>
                <w:b/>
                <w:sz w:val="20"/>
              </w:rPr>
              <w:t>• Sebastián Maturana y Elías Guala:</w:t>
            </w:r>
            <w:r>
              <w:rPr>
                <w:rFonts w:ascii="Arial" w:hAnsi="Arial"/>
                <w:sz w:val="20"/>
              </w:rPr>
              <w:t xml:space="preserve"> Ajuste de permisos de solo lectura para GERENCIA en órdenes de trabajo, revisión de estándares de código, optimización de consultas en MySQL 8 y preparación del entorno de despliegue y demostración final (GEST-03 / SMX-63).</w:t>
            </w:r>
          </w:p>
        </w:tc>
      </w:tr>
    </w:tbl>
    <w:p w14:paraId="4A87439C" w14:textId="77777777" w:rsidR="004F2A8B" w:rsidRDefault="004F2A8B" w:rsidP="3D28A338">
      <w:pPr>
        <w:spacing w:after="0" w:line="360" w:lineRule="auto"/>
        <w:jc w:val="both"/>
        <w:rPr>
          <w:color w:val="595959" w:themeColor="text1" w:themeTint="A6"/>
          <w:sz w:val="24"/>
          <w:szCs w:val="24"/>
          <w:lang w:eastAsia="ja-JP"/>
        </w:rPr>
      </w:pPr>
    </w:p>
    <w:p w14:paraId="42398380"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7C32A2C" w14:textId="77777777" w:rsidTr="3D28A338">
        <w:trPr>
          <w:trHeight w:val="440"/>
        </w:trPr>
        <w:tc>
          <w:tcPr>
            <w:tcW w:w="10076" w:type="dxa"/>
            <w:vAlign w:val="center"/>
          </w:tcPr>
          <w:p w14:paraId="33769872"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6E1F9765" w14:textId="77777777" w:rsidTr="3D28A338">
        <w:trPr>
          <w:trHeight w:val="1639"/>
        </w:trPr>
        <w:tc>
          <w:tcPr>
            <w:tcW w:w="10076" w:type="dxa"/>
            <w:shd w:val="clear" w:color="auto" w:fill="DEEAF6" w:themeFill="accent1" w:themeFillTint="33"/>
            <w:vAlign w:val="center"/>
          </w:tcPr>
          <w:p w14:paraId="4535D53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3D427DA5" w14:textId="77777777" w:rsidR="004F2A8B" w:rsidRDefault="004F2A8B" w:rsidP="3D28A338">
            <w:pPr>
              <w:jc w:val="both"/>
              <w:rPr>
                <w:rFonts w:eastAsiaTheme="majorEastAsia"/>
                <w:color w:val="767171" w:themeColor="background2" w:themeShade="80"/>
                <w:sz w:val="24"/>
                <w:szCs w:val="24"/>
              </w:rPr>
            </w:pPr>
          </w:p>
          <w:p w14:paraId="01EE982F" w14:textId="77777777" w:rsidR="00EB5C5F" w:rsidRDefault="00000000">
            <w:pPr>
              <w:spacing w:after="80" w:line="276" w:lineRule="auto"/>
            </w:pPr>
            <w:r>
              <w:rPr>
                <w:rFonts w:ascii="Arial" w:hAnsi="Arial"/>
                <w:b/>
                <w:sz w:val="20"/>
              </w:rPr>
              <w:t>Evaluación del trabajo grupal:</w:t>
            </w:r>
            <w:r>
              <w:rPr>
                <w:rFonts w:ascii="Arial" w:hAnsi="Arial"/>
                <w:sz w:val="20"/>
              </w:rPr>
              <w:t xml:space="preserve"> Evaluamos el trabajo en equipo como altamente cohesionado, responsable y equitativo, donde cada integrante ha aportado desde su especialidad para lograr un producto funcional real.</w:t>
            </w:r>
          </w:p>
          <w:p w14:paraId="3950F80D" w14:textId="77777777" w:rsidR="00EB5C5F" w:rsidRDefault="00000000">
            <w:pPr>
              <w:spacing w:after="80" w:line="276" w:lineRule="auto"/>
            </w:pPr>
            <w:r>
              <w:rPr>
                <w:rFonts w:ascii="Arial" w:hAnsi="Arial"/>
                <w:b/>
                <w:sz w:val="20"/>
              </w:rPr>
              <w:t>Aspectos positivos destacados:</w:t>
            </w:r>
            <w:r>
              <w:rPr>
                <w:rFonts w:ascii="Arial" w:hAnsi="Arial"/>
                <w:sz w:val="20"/>
              </w:rPr>
              <w:t xml:space="preserve"> Cumplimiento riguroso de las ceremonias de Scrum (Sprint Planning, Daily, Review y Retrospectiva), transparencia en la definición de reglas de negocio y excelente disposición para resolver bloqueos técnicos en conjunto.</w:t>
            </w:r>
          </w:p>
          <w:p w14:paraId="7248CE4F" w14:textId="77777777" w:rsidR="00EB5C5F" w:rsidRDefault="00000000">
            <w:pPr>
              <w:spacing w:after="80" w:line="276" w:lineRule="auto"/>
            </w:pPr>
            <w:r>
              <w:rPr>
                <w:rFonts w:ascii="Arial" w:hAnsi="Arial"/>
                <w:b/>
                <w:sz w:val="20"/>
              </w:rPr>
              <w:lastRenderedPageBreak/>
              <w:t>Aspectos por mejorar:</w:t>
            </w:r>
            <w:r>
              <w:rPr>
                <w:rFonts w:ascii="Arial" w:hAnsi="Arial"/>
                <w:sz w:val="20"/>
              </w:rPr>
              <w:t xml:space="preserve"> Actualizar diariamente el consumo de horas ('Cons.' y 'Rest.') en la planilla Sprint_Backlog_SEMAXEL(2).xlsx y en Jira a medida que se cierran los commits en GitHub, evitando dejar la actualización administrativa para el final del Sprint.</w:t>
            </w:r>
          </w:p>
        </w:tc>
      </w:tr>
    </w:tbl>
    <w:p w14:paraId="4CFFF0B5" w14:textId="77777777" w:rsidR="004F2A8B" w:rsidRDefault="004F2A8B" w:rsidP="3D28A338">
      <w:pPr>
        <w:spacing w:after="0" w:line="360" w:lineRule="auto"/>
        <w:jc w:val="both"/>
        <w:rPr>
          <w:color w:val="595959" w:themeColor="text1" w:themeTint="A6"/>
          <w:sz w:val="24"/>
          <w:szCs w:val="24"/>
          <w:lang w:eastAsia="ja-JP"/>
        </w:rPr>
      </w:pPr>
    </w:p>
    <w:p w14:paraId="11C222B4"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70F4" w14:textId="77777777" w:rsidR="00F209AA" w:rsidRDefault="00F209AA" w:rsidP="00DF38AE">
      <w:pPr>
        <w:spacing w:after="0" w:line="240" w:lineRule="auto"/>
      </w:pPr>
      <w:r>
        <w:separator/>
      </w:r>
    </w:p>
  </w:endnote>
  <w:endnote w:type="continuationSeparator" w:id="0">
    <w:p w14:paraId="784E1A0A" w14:textId="77777777" w:rsidR="00F209AA" w:rsidRDefault="00F209A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7B75C62F"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78692"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654D" w14:textId="77777777" w:rsidR="00F209AA" w:rsidRDefault="00F209AA" w:rsidP="00DF38AE">
      <w:pPr>
        <w:spacing w:after="0" w:line="240" w:lineRule="auto"/>
      </w:pPr>
      <w:r>
        <w:separator/>
      </w:r>
    </w:p>
  </w:footnote>
  <w:footnote w:type="continuationSeparator" w:id="0">
    <w:p w14:paraId="15D6C6E0" w14:textId="77777777" w:rsidR="00F209AA" w:rsidRDefault="00F209A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18D838F6" w14:textId="77777777" w:rsidTr="00C5460F">
      <w:trPr>
        <w:trHeight w:val="697"/>
      </w:trPr>
      <w:tc>
        <w:tcPr>
          <w:tcW w:w="5707" w:type="dxa"/>
          <w:tcBorders>
            <w:top w:val="nil"/>
            <w:left w:val="nil"/>
            <w:bottom w:val="nil"/>
            <w:right w:val="nil"/>
          </w:tcBorders>
        </w:tcPr>
        <w:p w14:paraId="368DA59E"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3176521"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38F8ECF"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56683BA"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A0DE64C"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125AC471" w14:textId="77777777" w:rsidTr="009C76B3">
      <w:trPr>
        <w:trHeight w:val="1091"/>
      </w:trPr>
      <w:tc>
        <w:tcPr>
          <w:tcW w:w="675" w:type="dxa"/>
          <w:tcBorders>
            <w:top w:val="nil"/>
            <w:left w:val="nil"/>
            <w:bottom w:val="nil"/>
            <w:right w:val="nil"/>
          </w:tcBorders>
          <w:hideMark/>
        </w:tcPr>
        <w:p w14:paraId="0401B4A6"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07C01F8"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406473BD"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8B90208"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1C8FEE16"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58AD7B29"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F2ECFC9"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54797000">
    <w:abstractNumId w:val="3"/>
  </w:num>
  <w:num w:numId="2" w16cid:durableId="512652496">
    <w:abstractNumId w:val="8"/>
  </w:num>
  <w:num w:numId="3" w16cid:durableId="1344894119">
    <w:abstractNumId w:val="12"/>
  </w:num>
  <w:num w:numId="4" w16cid:durableId="1154418859">
    <w:abstractNumId w:val="28"/>
  </w:num>
  <w:num w:numId="5" w16cid:durableId="1213808720">
    <w:abstractNumId w:val="30"/>
  </w:num>
  <w:num w:numId="6" w16cid:durableId="1390180583">
    <w:abstractNumId w:val="4"/>
  </w:num>
  <w:num w:numId="7" w16cid:durableId="500777570">
    <w:abstractNumId w:val="11"/>
  </w:num>
  <w:num w:numId="8" w16cid:durableId="300161593">
    <w:abstractNumId w:val="19"/>
  </w:num>
  <w:num w:numId="9" w16cid:durableId="440492860">
    <w:abstractNumId w:val="15"/>
  </w:num>
  <w:num w:numId="10" w16cid:durableId="988365587">
    <w:abstractNumId w:val="9"/>
  </w:num>
  <w:num w:numId="11" w16cid:durableId="1040473359">
    <w:abstractNumId w:val="24"/>
  </w:num>
  <w:num w:numId="12" w16cid:durableId="827983784">
    <w:abstractNumId w:val="35"/>
  </w:num>
  <w:num w:numId="13" w16cid:durableId="1285965711">
    <w:abstractNumId w:val="29"/>
  </w:num>
  <w:num w:numId="14" w16cid:durableId="1167356448">
    <w:abstractNumId w:val="1"/>
  </w:num>
  <w:num w:numId="15" w16cid:durableId="1521578737">
    <w:abstractNumId w:val="36"/>
  </w:num>
  <w:num w:numId="16" w16cid:durableId="1569265741">
    <w:abstractNumId w:val="21"/>
  </w:num>
  <w:num w:numId="17" w16cid:durableId="696321818">
    <w:abstractNumId w:val="17"/>
  </w:num>
  <w:num w:numId="18" w16cid:durableId="1776710441">
    <w:abstractNumId w:val="31"/>
  </w:num>
  <w:num w:numId="19" w16cid:durableId="1859152163">
    <w:abstractNumId w:val="10"/>
  </w:num>
  <w:num w:numId="20" w16cid:durableId="1202935533">
    <w:abstractNumId w:val="39"/>
  </w:num>
  <w:num w:numId="21" w16cid:durableId="1429882895">
    <w:abstractNumId w:val="34"/>
  </w:num>
  <w:num w:numId="22" w16cid:durableId="2146503416">
    <w:abstractNumId w:val="13"/>
  </w:num>
  <w:num w:numId="23" w16cid:durableId="1733193452">
    <w:abstractNumId w:val="14"/>
  </w:num>
  <w:num w:numId="24" w16cid:durableId="16515638">
    <w:abstractNumId w:val="5"/>
  </w:num>
  <w:num w:numId="25" w16cid:durableId="2121146184">
    <w:abstractNumId w:val="16"/>
  </w:num>
  <w:num w:numId="26" w16cid:durableId="1247685422">
    <w:abstractNumId w:val="20"/>
  </w:num>
  <w:num w:numId="27" w16cid:durableId="199514129">
    <w:abstractNumId w:val="23"/>
  </w:num>
  <w:num w:numId="28" w16cid:durableId="1151947359">
    <w:abstractNumId w:val="0"/>
  </w:num>
  <w:num w:numId="29" w16cid:durableId="959142291">
    <w:abstractNumId w:val="18"/>
  </w:num>
  <w:num w:numId="30" w16cid:durableId="270555180">
    <w:abstractNumId w:val="22"/>
  </w:num>
  <w:num w:numId="31" w16cid:durableId="1358194146">
    <w:abstractNumId w:val="2"/>
  </w:num>
  <w:num w:numId="32" w16cid:durableId="1622028471">
    <w:abstractNumId w:val="7"/>
  </w:num>
  <w:num w:numId="33" w16cid:durableId="1144615262">
    <w:abstractNumId w:val="32"/>
  </w:num>
  <w:num w:numId="34" w16cid:durableId="2009550359">
    <w:abstractNumId w:val="38"/>
  </w:num>
  <w:num w:numId="35" w16cid:durableId="1416823807">
    <w:abstractNumId w:val="6"/>
  </w:num>
  <w:num w:numId="36" w16cid:durableId="305088645">
    <w:abstractNumId w:val="25"/>
  </w:num>
  <w:num w:numId="37" w16cid:durableId="1475105703">
    <w:abstractNumId w:val="37"/>
  </w:num>
  <w:num w:numId="38" w16cid:durableId="1143892701">
    <w:abstractNumId w:val="27"/>
  </w:num>
  <w:num w:numId="39" w16cid:durableId="712079911">
    <w:abstractNumId w:val="26"/>
  </w:num>
  <w:num w:numId="40" w16cid:durableId="3595540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1C92"/>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3CD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5C5F"/>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9AA"/>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CD912"/>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1221</Words>
  <Characters>6718</Characters>
  <Application>Microsoft Office Word</Application>
  <DocSecurity>0</DocSecurity>
  <Lines>55</Lines>
  <Paragraphs>15</Paragraphs>
  <ScaleCrop>false</ScaleCrop>
  <Company>Wal-Mart Stores, Inc.</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Pedro Farias Leon</cp:lastModifiedBy>
  <cp:revision>43</cp:revision>
  <cp:lastPrinted>2019-12-16T20:10:00Z</cp:lastPrinted>
  <dcterms:created xsi:type="dcterms:W3CDTF">2021-12-31T12:50:00Z</dcterms:created>
  <dcterms:modified xsi:type="dcterms:W3CDTF">2026-10-19T02:09:00Z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