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cs="Arial" w:eastAsia="Arial"/>
          <w:b/>
          <w:color w:val="555555"/>
          <w:sz w:val="32"/>
        </w:rPr>
        <w:t>SEMAXEL</w:t>
      </w:r>
    </w:p>
    <w:p>
      <w:pPr>
        <w:spacing w:before="400"/>
        <w:jc w:val="center"/>
      </w:pPr>
      <w:r>
        <w:rPr>
          <w:rFonts w:ascii="Arial" w:hAnsi="Arial" w:cs="Arial" w:eastAsia="Arial"/>
          <w:b/>
          <w:color w:val="17365D"/>
          <w:sz w:val="52"/>
        </w:rPr>
        <w:t>Diagrama de Clases</w:t>
      </w:r>
    </w:p>
    <w:p>
      <w:pPr>
        <w:jc w:val="center"/>
      </w:pPr>
      <w:r>
        <w:rPr>
          <w:rFonts w:ascii="Arial" w:hAnsi="Arial" w:cs="Arial" w:eastAsia="Arial"/>
          <w:i/>
          <w:color w:val="555555"/>
          <w:sz w:val="26"/>
        </w:rPr>
        <w:t>Sistema de Gestión de Mantenimiento de Infraestructura — SEMAXEL</w:t>
      </w:r>
    </w:p>
    <w:p/>
    <w:p>
      <w:pPr>
        <w:jc w:val="center"/>
      </w:pPr>
      <w:r>
        <w:rPr>
          <w:rFonts w:ascii="Arial" w:hAnsi="Arial" w:cs="Arial" w:eastAsia="Arial"/>
          <w:color w:val="555555"/>
          <w:sz w:val="22"/>
        </w:rPr>
        <w:t>Asignatura: PTY4614 - Capstone</w:t>
      </w:r>
    </w:p>
    <w:p>
      <w:pPr>
        <w:jc w:val="center"/>
      </w:pPr>
      <w:r>
        <w:rPr>
          <w:rFonts w:ascii="Arial" w:hAnsi="Arial" w:cs="Arial" w:eastAsia="Arial"/>
          <w:color w:val="555555"/>
          <w:sz w:val="22"/>
        </w:rPr>
        <w:t>Docente: Cindy Contador</w:t>
      </w:r>
    </w:p>
    <w:p>
      <w:pPr>
        <w:jc w:val="center"/>
      </w:pPr>
      <w:r>
        <w:rPr>
          <w:rFonts w:ascii="Arial" w:hAnsi="Arial" w:cs="Arial" w:eastAsia="Arial"/>
          <w:color w:val="555555"/>
          <w:sz w:val="22"/>
        </w:rPr>
        <w:t>Equipo de Trabajo:</w:t>
      </w:r>
    </w:p>
    <w:p>
      <w:pPr>
        <w:jc w:val="center"/>
      </w:pPr>
      <w:r>
        <w:rPr>
          <w:rFonts w:ascii="Arial" w:hAnsi="Arial" w:cs="Arial" w:eastAsia="Arial"/>
          <w:color w:val="555555"/>
          <w:sz w:val="22"/>
        </w:rPr>
        <w:t>Maximiliano Duarte — Scrum Master / Líder QA</w:t>
      </w:r>
    </w:p>
    <w:p>
      <w:pPr>
        <w:jc w:val="center"/>
      </w:pPr>
      <w:r>
        <w:rPr>
          <w:rFonts w:ascii="Arial" w:hAnsi="Arial" w:cs="Arial" w:eastAsia="Arial"/>
          <w:color w:val="555555"/>
          <w:sz w:val="22"/>
        </w:rPr>
        <w:t>Juan León — Product Owner / Redactor Técnico</w:t>
      </w:r>
    </w:p>
    <w:p>
      <w:pPr>
        <w:jc w:val="center"/>
      </w:pPr>
      <w:r>
        <w:rPr>
          <w:rFonts w:ascii="Arial" w:hAnsi="Arial" w:cs="Arial" w:eastAsia="Arial"/>
          <w:color w:val="555555"/>
          <w:sz w:val="22"/>
        </w:rPr>
        <w:t>Elías Guala — Desarrollador Fullstack</w:t>
      </w:r>
    </w:p>
    <w:p>
      <w:pPr>
        <w:jc w:val="center"/>
      </w:pPr>
      <w:r>
        <w:rPr>
          <w:rFonts w:ascii="Arial" w:hAnsi="Arial" w:cs="Arial" w:eastAsia="Arial"/>
          <w:color w:val="555555"/>
          <w:sz w:val="22"/>
        </w:rPr>
        <w:t>Sebastián Maturana — Líder Técnico</w:t>
      </w:r>
    </w:p>
    <w:p>
      <w:pPr>
        <w:jc w:val="center"/>
      </w:pPr>
      <w:r>
        <w:rPr>
          <w:rFonts w:ascii="Arial" w:hAnsi="Arial" w:cs="Arial" w:eastAsia="Arial"/>
          <w:color w:val="555555"/>
          <w:sz w:val="22"/>
        </w:rPr>
        <w:t>Fecha: 30 de septiembre de 2026</w:t>
      </w:r>
    </w:p>
    <w:p>
      <w:r>
        <w:br w:type="page"/>
      </w:r>
    </w:p>
    <w:p>
      <w:pPr>
        <w:pStyle w:val="Heading1"/>
      </w:pPr>
      <w:r>
        <w:rPr>
          <w:rFonts w:ascii="Arial" w:hAnsi="Arial" w:cs="Arial" w:eastAsia="Arial"/>
          <w:b/>
          <w:color w:val="17365D"/>
          <w:sz w:val="32"/>
        </w:rPr>
        <w:t>Propósito del documento</w:t>
      </w:r>
    </w:p>
    <w:p>
      <w:pPr>
        <w:spacing w:after="160"/>
      </w:pPr>
      <w:r>
        <w:rPr>
          <w:rFonts w:ascii="Arial" w:hAnsi="Arial" w:cs="Arial" w:eastAsia="Arial"/>
          <w:b w:val="0"/>
          <w:i w:val="0"/>
          <w:sz w:val="22"/>
        </w:rPr>
        <w:t>Este diagrama representa las clases de dominio del sistema SEMAXEL tal como están implementadas en la capa de modelos de Django (archivos models.py de cada app), junto con los módulos de servicio que concentran la lógica de negocio transversal. No es un diseño teórico: cada clase, atributo y método listado existe en el código fuente del repositorio a la fecha de este informe.</w:t>
      </w:r>
    </w:p>
    <w:p>
      <w:pPr>
        <w:pStyle w:val="Heading1"/>
      </w:pPr>
      <w:r>
        <w:rPr>
          <w:rFonts w:ascii="Arial" w:hAnsi="Arial" w:cs="Arial" w:eastAsia="Arial"/>
          <w:b/>
          <w:color w:val="17365D"/>
          <w:sz w:val="32"/>
        </w:rPr>
        <w:t>Diagrama</w:t>
      </w:r>
    </w:p>
    <w:p>
      <w:pPr>
        <w:jc w:val="center"/>
      </w:pPr>
      <w:r>
        <w:drawing>
          <wp:inline xmlns:a="http://schemas.openxmlformats.org/drawingml/2006/main" xmlns:pic="http://schemas.openxmlformats.org/drawingml/2006/picture">
            <wp:extent cx="6217920" cy="2511552"/>
            <wp:docPr id="1" name="Picture 1"/>
            <wp:cNvGraphicFramePr>
              <a:graphicFrameLocks noChangeAspect="1"/>
            </wp:cNvGraphicFramePr>
            <a:graphic>
              <a:graphicData uri="http://schemas.openxmlformats.org/drawingml/2006/picture">
                <pic:pic>
                  <pic:nvPicPr>
                    <pic:cNvPr id="0" name="class.png"/>
                    <pic:cNvPicPr/>
                  </pic:nvPicPr>
                  <pic:blipFill>
                    <a:blip r:embed="rId9"/>
                    <a:stretch>
                      <a:fillRect/>
                    </a:stretch>
                  </pic:blipFill>
                  <pic:spPr>
                    <a:xfrm>
                      <a:off x="0" y="0"/>
                      <a:ext cx="6217920" cy="2511552"/>
                    </a:xfrm>
                    <a:prstGeom prst="rect"/>
                  </pic:spPr>
                </pic:pic>
              </a:graphicData>
            </a:graphic>
          </wp:inline>
        </w:drawing>
      </w:r>
    </w:p>
    <w:p>
      <w:pPr>
        <w:jc w:val="center"/>
      </w:pPr>
      <w:r>
        <w:rPr>
          <w:rFonts w:ascii="Arial" w:hAnsi="Arial" w:cs="Arial" w:eastAsia="Arial"/>
          <w:i/>
          <w:color w:val="555555"/>
          <w:sz w:val="19"/>
        </w:rPr>
        <w:t>Figura 1. Diagrama de clases de dominio, agrupado por app de Django.</w:t>
      </w:r>
    </w:p>
    <w:p>
      <w:pPr>
        <w:pStyle w:val="Heading1"/>
      </w:pPr>
      <w:r>
        <w:rPr>
          <w:rFonts w:ascii="Arial" w:hAnsi="Arial" w:cs="Arial" w:eastAsia="Arial"/>
          <w:b/>
          <w:color w:val="17365D"/>
          <w:sz w:val="32"/>
        </w:rPr>
        <w:t>Descripción de las clases principales</w:t>
      </w:r>
    </w:p>
    <w:p>
      <w:pPr>
        <w:pStyle w:val="Heading2"/>
      </w:pPr>
      <w:r>
        <w:rPr>
          <w:rFonts w:ascii="Arial" w:hAnsi="Arial" w:cs="Arial" w:eastAsia="Arial"/>
          <w:b/>
          <w:color w:val="17365D"/>
          <w:sz w:val="26"/>
        </w:rPr>
        <w:t>Identidad y organización</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17365D"/>
          </w:tcPr>
          <w:p>
            <w:r/>
            <w:r>
              <w:rPr>
                <w:rFonts w:ascii="Arial" w:hAnsi="Arial" w:cs="Arial" w:eastAsia="Arial"/>
                <w:b/>
                <w:color w:val="FFFFFF"/>
                <w:sz w:val="19"/>
              </w:rPr>
              <w:t>Clase</w:t>
            </w:r>
          </w:p>
        </w:tc>
        <w:tc>
          <w:tcPr>
            <w:tcW w:type="dxa" w:w="1584"/>
            <w:shd w:val="clear" w:color="auto" w:fill="17365D"/>
          </w:tcPr>
          <w:p>
            <w:r/>
            <w:r>
              <w:rPr>
                <w:rFonts w:ascii="Arial" w:hAnsi="Arial" w:cs="Arial" w:eastAsia="Arial"/>
                <w:b/>
                <w:color w:val="FFFFFF"/>
                <w:sz w:val="19"/>
              </w:rPr>
              <w:t>App</w:t>
            </w:r>
          </w:p>
        </w:tc>
        <w:tc>
          <w:tcPr>
            <w:tcW w:type="dxa" w:w="6768"/>
            <w:shd w:val="clear" w:color="auto" w:fill="17365D"/>
          </w:tcPr>
          <w:p>
            <w:r/>
            <w:r>
              <w:rPr>
                <w:rFonts w:ascii="Arial" w:hAnsi="Arial" w:cs="Arial" w:eastAsia="Arial"/>
                <w:b/>
                <w:color w:val="FFFFFF"/>
                <w:sz w:val="19"/>
              </w:rPr>
              <w:t>Responsabilidad</w:t>
            </w:r>
          </w:p>
        </w:tc>
      </w:tr>
      <w:tr>
        <w:tc>
          <w:tcPr>
            <w:tcW w:type="dxa" w:w="2304"/>
          </w:tcPr>
          <w:p>
            <w:r/>
            <w:r>
              <w:rPr>
                <w:rFonts w:ascii="Arial" w:hAnsi="Arial" w:cs="Arial" w:eastAsia="Arial"/>
                <w:sz w:val="18"/>
              </w:rPr>
              <w:t>Usuario</w:t>
            </w:r>
          </w:p>
        </w:tc>
        <w:tc>
          <w:tcPr>
            <w:tcW w:type="dxa" w:w="1584"/>
          </w:tcPr>
          <w:p>
            <w:r/>
            <w:r>
              <w:rPr>
                <w:rFonts w:ascii="Arial" w:hAnsi="Arial" w:cs="Arial" w:eastAsia="Arial"/>
                <w:sz w:val="18"/>
              </w:rPr>
              <w:t>accounts</w:t>
            </w:r>
          </w:p>
        </w:tc>
        <w:tc>
          <w:tcPr>
            <w:tcW w:type="dxa" w:w="6768"/>
          </w:tcPr>
          <w:p>
            <w:r/>
            <w:r>
              <w:rPr>
                <w:rFonts w:ascii="Arial" w:hAnsi="Arial" w:cs="Arial" w:eastAsia="Arial"/>
                <w:sz w:val="18"/>
              </w:rPr>
              <w:t>Perfil 1-a-1 sobre auth.User; guarda rol y empresa. La autenticación la resuelve Django.</w:t>
            </w:r>
          </w:p>
        </w:tc>
      </w:tr>
      <w:tr>
        <w:tc>
          <w:tcPr>
            <w:tcW w:type="dxa" w:w="2304"/>
          </w:tcPr>
          <w:p>
            <w:r/>
            <w:r>
              <w:rPr>
                <w:rFonts w:ascii="Arial" w:hAnsi="Arial" w:cs="Arial" w:eastAsia="Arial"/>
                <w:sz w:val="18"/>
              </w:rPr>
              <w:t>Empresa</w:t>
            </w:r>
          </w:p>
        </w:tc>
        <w:tc>
          <w:tcPr>
            <w:tcW w:type="dxa" w:w="1584"/>
          </w:tcPr>
          <w:p>
            <w:r/>
            <w:r>
              <w:rPr>
                <w:rFonts w:ascii="Arial" w:hAnsi="Arial" w:cs="Arial" w:eastAsia="Arial"/>
                <w:sz w:val="18"/>
              </w:rPr>
              <w:t>empresas</w:t>
            </w:r>
          </w:p>
        </w:tc>
        <w:tc>
          <w:tcPr>
            <w:tcW w:type="dxa" w:w="6768"/>
          </w:tcPr>
          <w:p>
            <w:r/>
            <w:r>
              <w:rPr>
                <w:rFonts w:ascii="Arial" w:hAnsi="Arial" w:cs="Arial" w:eastAsia="Arial"/>
                <w:sz w:val="18"/>
              </w:rPr>
              <w:t>Empresa cliente del sistema (arquitectura multiempresa lógica sobre una sola base de datos).</w:t>
            </w:r>
          </w:p>
        </w:tc>
      </w:tr>
      <w:tr>
        <w:tc>
          <w:tcPr>
            <w:tcW w:type="dxa" w:w="2304"/>
          </w:tcPr>
          <w:p>
            <w:r/>
            <w:r>
              <w:rPr>
                <w:rFonts w:ascii="Arial" w:hAnsi="Arial" w:cs="Arial" w:eastAsia="Arial"/>
                <w:sz w:val="18"/>
              </w:rPr>
              <w:t>Sucursal</w:t>
            </w:r>
          </w:p>
        </w:tc>
        <w:tc>
          <w:tcPr>
            <w:tcW w:type="dxa" w:w="1584"/>
          </w:tcPr>
          <w:p>
            <w:r/>
            <w:r>
              <w:rPr>
                <w:rFonts w:ascii="Arial" w:hAnsi="Arial" w:cs="Arial" w:eastAsia="Arial"/>
                <w:sz w:val="18"/>
              </w:rPr>
              <w:t>sucursales</w:t>
            </w:r>
          </w:p>
        </w:tc>
        <w:tc>
          <w:tcPr>
            <w:tcW w:type="dxa" w:w="6768"/>
          </w:tcPr>
          <w:p>
            <w:r/>
            <w:r>
              <w:rPr>
                <w:rFonts w:ascii="Arial" w:hAnsi="Arial" w:cs="Arial" w:eastAsia="Arial"/>
                <w:sz w:val="18"/>
              </w:rPr>
              <w:t>Punto físico donde ocurre el mantenimiento; tiene encargados (M2M con User).</w:t>
            </w:r>
          </w:p>
        </w:tc>
      </w:tr>
      <w:tr>
        <w:tc>
          <w:tcPr>
            <w:tcW w:type="dxa" w:w="2304"/>
          </w:tcPr>
          <w:p>
            <w:r/>
            <w:r>
              <w:rPr>
                <w:rFonts w:ascii="Arial" w:hAnsi="Arial" w:cs="Arial" w:eastAsia="Arial"/>
                <w:sz w:val="18"/>
              </w:rPr>
              <w:t>Especialidad / Tecnico</w:t>
            </w:r>
          </w:p>
        </w:tc>
        <w:tc>
          <w:tcPr>
            <w:tcW w:type="dxa" w:w="1584"/>
          </w:tcPr>
          <w:p>
            <w:r/>
            <w:r>
              <w:rPr>
                <w:rFonts w:ascii="Arial" w:hAnsi="Arial" w:cs="Arial" w:eastAsia="Arial"/>
                <w:sz w:val="18"/>
              </w:rPr>
              <w:t>tecnicos</w:t>
            </w:r>
          </w:p>
        </w:tc>
        <w:tc>
          <w:tcPr>
            <w:tcW w:type="dxa" w:w="6768"/>
          </w:tcPr>
          <w:p>
            <w:r/>
            <w:r>
              <w:rPr>
                <w:rFonts w:ascii="Arial" w:hAnsi="Arial" w:cs="Arial" w:eastAsia="Arial"/>
                <w:sz w:val="18"/>
              </w:rPr>
              <w:t>Especialidad técnica configurable y perfil del técnico (1-a-1 con User, M2M con Especialidad).</w:t>
            </w:r>
          </w:p>
        </w:tc>
      </w:tr>
    </w:tbl>
    <w:p>
      <w:pPr>
        <w:spacing w:after="80"/>
      </w:pPr>
    </w:p>
    <w:p>
      <w:pPr>
        <w:pStyle w:val="Heading2"/>
      </w:pPr>
      <w:r>
        <w:rPr>
          <w:rFonts w:ascii="Arial" w:hAnsi="Arial" w:cs="Arial" w:eastAsia="Arial"/>
          <w:b/>
          <w:color w:val="17365D"/>
          <w:sz w:val="26"/>
        </w:rPr>
        <w:t>Núcleo del negocio (ciclo de vida del ticket)</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17365D"/>
          </w:tcPr>
          <w:p>
            <w:r/>
            <w:r>
              <w:rPr>
                <w:rFonts w:ascii="Arial" w:hAnsi="Arial" w:cs="Arial" w:eastAsia="Arial"/>
                <w:b/>
                <w:color w:val="FFFFFF"/>
                <w:sz w:val="19"/>
              </w:rPr>
              <w:t>Clase</w:t>
            </w:r>
          </w:p>
        </w:tc>
        <w:tc>
          <w:tcPr>
            <w:tcW w:type="dxa" w:w="1584"/>
            <w:shd w:val="clear" w:color="auto" w:fill="17365D"/>
          </w:tcPr>
          <w:p>
            <w:r/>
            <w:r>
              <w:rPr>
                <w:rFonts w:ascii="Arial" w:hAnsi="Arial" w:cs="Arial" w:eastAsia="Arial"/>
                <w:b/>
                <w:color w:val="FFFFFF"/>
                <w:sz w:val="19"/>
              </w:rPr>
              <w:t>App</w:t>
            </w:r>
          </w:p>
        </w:tc>
        <w:tc>
          <w:tcPr>
            <w:tcW w:type="dxa" w:w="6768"/>
            <w:shd w:val="clear" w:color="auto" w:fill="17365D"/>
          </w:tcPr>
          <w:p>
            <w:r/>
            <w:r>
              <w:rPr>
                <w:rFonts w:ascii="Arial" w:hAnsi="Arial" w:cs="Arial" w:eastAsia="Arial"/>
                <w:b/>
                <w:color w:val="FFFFFF"/>
                <w:sz w:val="19"/>
              </w:rPr>
              <w:t>Responsabilidad</w:t>
            </w:r>
          </w:p>
        </w:tc>
      </w:tr>
      <w:tr>
        <w:tc>
          <w:tcPr>
            <w:tcW w:type="dxa" w:w="2304"/>
          </w:tcPr>
          <w:p>
            <w:r/>
            <w:r>
              <w:rPr>
                <w:rFonts w:ascii="Arial" w:hAnsi="Arial" w:cs="Arial" w:eastAsia="Arial"/>
                <w:sz w:val="18"/>
              </w:rPr>
              <w:t>Categoria</w:t>
            </w:r>
          </w:p>
        </w:tc>
        <w:tc>
          <w:tcPr>
            <w:tcW w:type="dxa" w:w="1584"/>
          </w:tcPr>
          <w:p>
            <w:r/>
            <w:r>
              <w:rPr>
                <w:rFonts w:ascii="Arial" w:hAnsi="Arial" w:cs="Arial" w:eastAsia="Arial"/>
                <w:sz w:val="18"/>
              </w:rPr>
              <w:t>tickets</w:t>
            </w:r>
          </w:p>
        </w:tc>
        <w:tc>
          <w:tcPr>
            <w:tcW w:type="dxa" w:w="6768"/>
          </w:tcPr>
          <w:p>
            <w:r/>
            <w:r>
              <w:rPr>
                <w:rFonts w:ascii="Arial" w:hAnsi="Arial" w:cs="Arial" w:eastAsia="Arial"/>
                <w:sz w:val="18"/>
              </w:rPr>
              <w:t>Clasifica el tipo de mantención; puede asociarse a una especialidad.</w:t>
            </w:r>
          </w:p>
        </w:tc>
      </w:tr>
      <w:tr>
        <w:tc>
          <w:tcPr>
            <w:tcW w:type="dxa" w:w="2304"/>
          </w:tcPr>
          <w:p>
            <w:r/>
            <w:r>
              <w:rPr>
                <w:rFonts w:ascii="Arial" w:hAnsi="Arial" w:cs="Arial" w:eastAsia="Arial"/>
                <w:sz w:val="18"/>
              </w:rPr>
              <w:t>Ticket</w:t>
            </w:r>
          </w:p>
        </w:tc>
        <w:tc>
          <w:tcPr>
            <w:tcW w:type="dxa" w:w="1584"/>
          </w:tcPr>
          <w:p>
            <w:r/>
            <w:r>
              <w:rPr>
                <w:rFonts w:ascii="Arial" w:hAnsi="Arial" w:cs="Arial" w:eastAsia="Arial"/>
                <w:sz w:val="18"/>
              </w:rPr>
              <w:t>tickets</w:t>
            </w:r>
          </w:p>
        </w:tc>
        <w:tc>
          <w:tcPr>
            <w:tcW w:type="dxa" w:w="6768"/>
          </w:tcPr>
          <w:p>
            <w:r/>
            <w:r>
              <w:rPr>
                <w:rFonts w:ascii="Arial" w:hAnsi="Arial" w:cs="Arial" w:eastAsia="Arial"/>
                <w:sz w:val="18"/>
              </w:rPr>
              <w:t>Entidad central: reporte de incidencia/preventivo. Implementa máquina de estados propia (TRANSICIONES_VALIDAS) y calcula fecha_limite_sla al guardar.</w:t>
            </w:r>
          </w:p>
        </w:tc>
      </w:tr>
      <w:tr>
        <w:tc>
          <w:tcPr>
            <w:tcW w:type="dxa" w:w="2304"/>
          </w:tcPr>
          <w:p>
            <w:r/>
            <w:r>
              <w:rPr>
                <w:rFonts w:ascii="Arial" w:hAnsi="Arial" w:cs="Arial" w:eastAsia="Arial"/>
                <w:sz w:val="18"/>
              </w:rPr>
              <w:t>EvidenciaTicket</w:t>
            </w:r>
          </w:p>
        </w:tc>
        <w:tc>
          <w:tcPr>
            <w:tcW w:type="dxa" w:w="1584"/>
          </w:tcPr>
          <w:p>
            <w:r/>
            <w:r>
              <w:rPr>
                <w:rFonts w:ascii="Arial" w:hAnsi="Arial" w:cs="Arial" w:eastAsia="Arial"/>
                <w:sz w:val="18"/>
              </w:rPr>
              <w:t>tickets</w:t>
            </w:r>
          </w:p>
        </w:tc>
        <w:tc>
          <w:tcPr>
            <w:tcW w:type="dxa" w:w="6768"/>
          </w:tcPr>
          <w:p>
            <w:r/>
            <w:r>
              <w:rPr>
                <w:rFonts w:ascii="Arial" w:hAnsi="Arial" w:cs="Arial" w:eastAsia="Arial"/>
                <w:sz w:val="18"/>
              </w:rPr>
              <w:t>Archivo adjunto (imagen u otro) asociado a un ticket.</w:t>
            </w:r>
          </w:p>
        </w:tc>
      </w:tr>
      <w:tr>
        <w:tc>
          <w:tcPr>
            <w:tcW w:type="dxa" w:w="2304"/>
          </w:tcPr>
          <w:p>
            <w:r/>
            <w:r>
              <w:rPr>
                <w:rFonts w:ascii="Arial" w:hAnsi="Arial" w:cs="Arial" w:eastAsia="Arial"/>
                <w:sz w:val="18"/>
              </w:rPr>
              <w:t>TicketHistorial</w:t>
            </w:r>
          </w:p>
        </w:tc>
        <w:tc>
          <w:tcPr>
            <w:tcW w:type="dxa" w:w="1584"/>
          </w:tcPr>
          <w:p>
            <w:r/>
            <w:r>
              <w:rPr>
                <w:rFonts w:ascii="Arial" w:hAnsi="Arial" w:cs="Arial" w:eastAsia="Arial"/>
                <w:sz w:val="18"/>
              </w:rPr>
              <w:t>tickets</w:t>
            </w:r>
          </w:p>
        </w:tc>
        <w:tc>
          <w:tcPr>
            <w:tcW w:type="dxa" w:w="6768"/>
          </w:tcPr>
          <w:p>
            <w:r/>
            <w:r>
              <w:rPr>
                <w:rFonts w:ascii="Arial" w:hAnsi="Arial" w:cs="Arial" w:eastAsia="Arial"/>
                <w:sz w:val="18"/>
              </w:rPr>
              <w:t>Bitácora de auditoría: registra cada cambio de estado, quién y cuándo.</w:t>
            </w:r>
          </w:p>
        </w:tc>
      </w:tr>
      <w:tr>
        <w:tc>
          <w:tcPr>
            <w:tcW w:type="dxa" w:w="2304"/>
          </w:tcPr>
          <w:p>
            <w:r/>
            <w:r>
              <w:rPr>
                <w:rFonts w:ascii="Arial" w:hAnsi="Arial" w:cs="Arial" w:eastAsia="Arial"/>
                <w:sz w:val="18"/>
              </w:rPr>
              <w:t>OfertaTicket</w:t>
            </w:r>
          </w:p>
        </w:tc>
        <w:tc>
          <w:tcPr>
            <w:tcW w:type="dxa" w:w="1584"/>
          </w:tcPr>
          <w:p>
            <w:r/>
            <w:r>
              <w:rPr>
                <w:rFonts w:ascii="Arial" w:hAnsi="Arial" w:cs="Arial" w:eastAsia="Arial"/>
                <w:sz w:val="18"/>
              </w:rPr>
              <w:t>ofertas</w:t>
            </w:r>
          </w:p>
        </w:tc>
        <w:tc>
          <w:tcPr>
            <w:tcW w:type="dxa" w:w="6768"/>
          </w:tcPr>
          <w:p>
            <w:r/>
            <w:r>
              <w:rPr>
                <w:rFonts w:ascii="Arial" w:hAnsi="Arial" w:cs="Arial" w:eastAsia="Arial"/>
                <w:sz w:val="18"/>
              </w:rPr>
              <w:t>Publicación tipo marketplace de un ticket para que un técnico elegible la tome.</w:t>
            </w:r>
          </w:p>
        </w:tc>
      </w:tr>
      <w:tr>
        <w:tc>
          <w:tcPr>
            <w:tcW w:type="dxa" w:w="2304"/>
          </w:tcPr>
          <w:p>
            <w:r/>
            <w:r>
              <w:rPr>
                <w:rFonts w:ascii="Arial" w:hAnsi="Arial" w:cs="Arial" w:eastAsia="Arial"/>
                <w:sz w:val="18"/>
              </w:rPr>
              <w:t>OrdenTrabajo</w:t>
            </w:r>
          </w:p>
        </w:tc>
        <w:tc>
          <w:tcPr>
            <w:tcW w:type="dxa" w:w="1584"/>
          </w:tcPr>
          <w:p>
            <w:r/>
            <w:r>
              <w:rPr>
                <w:rFonts w:ascii="Arial" w:hAnsi="Arial" w:cs="Arial" w:eastAsia="Arial"/>
                <w:sz w:val="18"/>
              </w:rPr>
              <w:t>tickets</w:t>
            </w:r>
          </w:p>
        </w:tc>
        <w:tc>
          <w:tcPr>
            <w:tcW w:type="dxa" w:w="6768"/>
          </w:tcPr>
          <w:p>
            <w:r/>
            <w:r>
              <w:rPr>
                <w:rFonts w:ascii="Arial" w:hAnsi="Arial" w:cs="Arial" w:eastAsia="Arial"/>
                <w:sz w:val="18"/>
              </w:rPr>
              <w:t>Ejecución del trabajo por un técnico. Máquina de estados propia; sincroniza el estado del ticket y libera al técnico al finalizar.</w:t>
            </w:r>
          </w:p>
        </w:tc>
      </w:tr>
      <w:tr>
        <w:tc>
          <w:tcPr>
            <w:tcW w:type="dxa" w:w="2304"/>
          </w:tcPr>
          <w:p>
            <w:r/>
            <w:r>
              <w:rPr>
                <w:rFonts w:ascii="Arial" w:hAnsi="Arial" w:cs="Arial" w:eastAsia="Arial"/>
                <w:sz w:val="18"/>
              </w:rPr>
              <w:t>Calificacion</w:t>
            </w:r>
          </w:p>
        </w:tc>
        <w:tc>
          <w:tcPr>
            <w:tcW w:type="dxa" w:w="1584"/>
          </w:tcPr>
          <w:p>
            <w:r/>
            <w:r>
              <w:rPr>
                <w:rFonts w:ascii="Arial" w:hAnsi="Arial" w:cs="Arial" w:eastAsia="Arial"/>
                <w:sz w:val="18"/>
              </w:rPr>
              <w:t>tickets</w:t>
            </w:r>
          </w:p>
        </w:tc>
        <w:tc>
          <w:tcPr>
            <w:tcW w:type="dxa" w:w="6768"/>
          </w:tcPr>
          <w:p>
            <w:r/>
            <w:r>
              <w:rPr>
                <w:rFonts w:ascii="Arial" w:hAnsi="Arial" w:cs="Arial" w:eastAsia="Arial"/>
                <w:sz w:val="18"/>
              </w:rPr>
              <w:t>Evaluación de 1 a 5 del técnico, máximo una por orden de trabajo.</w:t>
            </w:r>
          </w:p>
        </w:tc>
      </w:tr>
    </w:tbl>
    <w:p>
      <w:pPr>
        <w:spacing w:after="80"/>
      </w:pPr>
    </w:p>
    <w:p>
      <w:pPr>
        <w:pStyle w:val="Heading2"/>
      </w:pPr>
      <w:r>
        <w:rPr>
          <w:rFonts w:ascii="Arial" w:hAnsi="Arial" w:cs="Arial" w:eastAsia="Arial"/>
          <w:b/>
          <w:color w:val="17365D"/>
          <w:sz w:val="26"/>
        </w:rPr>
        <w:t>SLA y mantenimiento preventivo</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17365D"/>
          </w:tcPr>
          <w:p>
            <w:r/>
            <w:r>
              <w:rPr>
                <w:rFonts w:ascii="Arial" w:hAnsi="Arial" w:cs="Arial" w:eastAsia="Arial"/>
                <w:b/>
                <w:color w:val="FFFFFF"/>
                <w:sz w:val="19"/>
              </w:rPr>
              <w:t>Clase</w:t>
            </w:r>
          </w:p>
        </w:tc>
        <w:tc>
          <w:tcPr>
            <w:tcW w:type="dxa" w:w="1584"/>
            <w:shd w:val="clear" w:color="auto" w:fill="17365D"/>
          </w:tcPr>
          <w:p>
            <w:r/>
            <w:r>
              <w:rPr>
                <w:rFonts w:ascii="Arial" w:hAnsi="Arial" w:cs="Arial" w:eastAsia="Arial"/>
                <w:b/>
                <w:color w:val="FFFFFF"/>
                <w:sz w:val="19"/>
              </w:rPr>
              <w:t>App</w:t>
            </w:r>
          </w:p>
        </w:tc>
        <w:tc>
          <w:tcPr>
            <w:tcW w:type="dxa" w:w="6768"/>
            <w:shd w:val="clear" w:color="auto" w:fill="17365D"/>
          </w:tcPr>
          <w:p>
            <w:r/>
            <w:r>
              <w:rPr>
                <w:rFonts w:ascii="Arial" w:hAnsi="Arial" w:cs="Arial" w:eastAsia="Arial"/>
                <w:b/>
                <w:color w:val="FFFFFF"/>
                <w:sz w:val="19"/>
              </w:rPr>
              <w:t>Responsabilidad</w:t>
            </w:r>
          </w:p>
        </w:tc>
      </w:tr>
      <w:tr>
        <w:tc>
          <w:tcPr>
            <w:tcW w:type="dxa" w:w="2304"/>
          </w:tcPr>
          <w:p>
            <w:r/>
            <w:r>
              <w:rPr>
                <w:rFonts w:ascii="Arial" w:hAnsi="Arial" w:cs="Arial" w:eastAsia="Arial"/>
                <w:sz w:val="18"/>
              </w:rPr>
              <w:t>SLAPolicy</w:t>
            </w:r>
          </w:p>
        </w:tc>
        <w:tc>
          <w:tcPr>
            <w:tcW w:type="dxa" w:w="1584"/>
          </w:tcPr>
          <w:p>
            <w:r/>
            <w:r>
              <w:rPr>
                <w:rFonts w:ascii="Arial" w:hAnsi="Arial" w:cs="Arial" w:eastAsia="Arial"/>
                <w:sz w:val="18"/>
              </w:rPr>
              <w:t>sla</w:t>
            </w:r>
          </w:p>
        </w:tc>
        <w:tc>
          <w:tcPr>
            <w:tcW w:type="dxa" w:w="6768"/>
          </w:tcPr>
          <w:p>
            <w:r/>
            <w:r>
              <w:rPr>
                <w:rFonts w:ascii="Arial" w:hAnsi="Arial" w:cs="Arial" w:eastAsia="Arial"/>
                <w:sz w:val="18"/>
              </w:rPr>
              <w:t>Tiempos máximos de respuesta/resolución por prioridad; política específica por empresa o global de respaldo.</w:t>
            </w:r>
          </w:p>
        </w:tc>
      </w:tr>
      <w:tr>
        <w:tc>
          <w:tcPr>
            <w:tcW w:type="dxa" w:w="2304"/>
          </w:tcPr>
          <w:p>
            <w:r/>
            <w:r>
              <w:rPr>
                <w:rFonts w:ascii="Arial" w:hAnsi="Arial" w:cs="Arial" w:eastAsia="Arial"/>
                <w:sz w:val="18"/>
              </w:rPr>
              <w:t>PlanMantenimiento</w:t>
            </w:r>
          </w:p>
        </w:tc>
        <w:tc>
          <w:tcPr>
            <w:tcW w:type="dxa" w:w="1584"/>
          </w:tcPr>
          <w:p>
            <w:r/>
            <w:r>
              <w:rPr>
                <w:rFonts w:ascii="Arial" w:hAnsi="Arial" w:cs="Arial" w:eastAsia="Arial"/>
                <w:sz w:val="18"/>
              </w:rPr>
              <w:t>mantenimiento</w:t>
            </w:r>
          </w:p>
        </w:tc>
        <w:tc>
          <w:tcPr>
            <w:tcW w:type="dxa" w:w="6768"/>
          </w:tcPr>
          <w:p>
            <w:r/>
            <w:r>
              <w:rPr>
                <w:rFonts w:ascii="Arial" w:hAnsi="Arial" w:cs="Arial" w:eastAsia="Arial"/>
                <w:sz w:val="18"/>
              </w:rPr>
              <w:t>Plan preventivo recurrente por sucursal y categoría, con frecuencia configurable.</w:t>
            </w:r>
          </w:p>
        </w:tc>
      </w:tr>
      <w:tr>
        <w:tc>
          <w:tcPr>
            <w:tcW w:type="dxa" w:w="2304"/>
          </w:tcPr>
          <w:p>
            <w:r/>
            <w:r>
              <w:rPr>
                <w:rFonts w:ascii="Arial" w:hAnsi="Arial" w:cs="Arial" w:eastAsia="Arial"/>
                <w:sz w:val="18"/>
              </w:rPr>
              <w:t>ProgramacionMantenimiento</w:t>
            </w:r>
          </w:p>
        </w:tc>
        <w:tc>
          <w:tcPr>
            <w:tcW w:type="dxa" w:w="1584"/>
          </w:tcPr>
          <w:p>
            <w:r/>
            <w:r>
              <w:rPr>
                <w:rFonts w:ascii="Arial" w:hAnsi="Arial" w:cs="Arial" w:eastAsia="Arial"/>
                <w:sz w:val="18"/>
              </w:rPr>
              <w:t>mantenimiento</w:t>
            </w:r>
          </w:p>
        </w:tc>
        <w:tc>
          <w:tcPr>
            <w:tcW w:type="dxa" w:w="6768"/>
          </w:tcPr>
          <w:p>
            <w:r/>
            <w:r>
              <w:rPr>
                <w:rFonts w:ascii="Arial" w:hAnsi="Arial" w:cs="Arial" w:eastAsia="Arial"/>
                <w:sz w:val="18"/>
              </w:rPr>
              <w:t>Ejecución programada de un plan; referencia el ticket preventivo que genera.</w:t>
            </w:r>
          </w:p>
        </w:tc>
      </w:tr>
    </w:tbl>
    <w:p>
      <w:pPr>
        <w:spacing w:after="80"/>
      </w:pPr>
    </w:p>
    <w:p>
      <w:pPr>
        <w:pStyle w:val="Heading2"/>
      </w:pPr>
      <w:r>
        <w:rPr>
          <w:rFonts w:ascii="Arial" w:hAnsi="Arial" w:cs="Arial" w:eastAsia="Arial"/>
          <w:b/>
          <w:color w:val="17365D"/>
          <w:sz w:val="26"/>
        </w:rPr>
        <w:t>Módulos de servicio (lógica de negocio, no persistentes)</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17365D"/>
          </w:tcPr>
          <w:p>
            <w:r/>
            <w:r>
              <w:rPr>
                <w:rFonts w:ascii="Arial" w:hAnsi="Arial" w:cs="Arial" w:eastAsia="Arial"/>
                <w:b/>
                <w:color w:val="FFFFFF"/>
                <w:sz w:val="19"/>
              </w:rPr>
              <w:t>Módulo</w:t>
            </w:r>
          </w:p>
        </w:tc>
        <w:tc>
          <w:tcPr>
            <w:tcW w:type="dxa" w:w="3744"/>
            <w:shd w:val="clear" w:color="auto" w:fill="17365D"/>
          </w:tcPr>
          <w:p>
            <w:r/>
            <w:r>
              <w:rPr>
                <w:rFonts w:ascii="Arial" w:hAnsi="Arial" w:cs="Arial" w:eastAsia="Arial"/>
                <w:b/>
                <w:color w:val="FFFFFF"/>
                <w:sz w:val="19"/>
              </w:rPr>
              <w:t>Función clave</w:t>
            </w:r>
          </w:p>
        </w:tc>
        <w:tc>
          <w:tcPr>
            <w:tcW w:type="dxa" w:w="3168"/>
            <w:shd w:val="clear" w:color="auto" w:fill="17365D"/>
          </w:tcPr>
          <w:p>
            <w:r/>
            <w:r>
              <w:rPr>
                <w:rFonts w:ascii="Arial" w:hAnsi="Arial" w:cs="Arial" w:eastAsia="Arial"/>
                <w:b/>
                <w:color w:val="FFFFFF"/>
                <w:sz w:val="19"/>
              </w:rPr>
              <w:t>Uso</w:t>
            </w:r>
          </w:p>
        </w:tc>
      </w:tr>
      <w:tr>
        <w:tc>
          <w:tcPr>
            <w:tcW w:type="dxa" w:w="2304"/>
          </w:tcPr>
          <w:p>
            <w:r/>
            <w:r>
              <w:rPr>
                <w:rFonts w:ascii="Arial" w:hAnsi="Arial" w:cs="Arial" w:eastAsia="Arial"/>
                <w:sz w:val="18"/>
              </w:rPr>
              <w:t>accounts.roles</w:t>
            </w:r>
          </w:p>
        </w:tc>
        <w:tc>
          <w:tcPr>
            <w:tcW w:type="dxa" w:w="3744"/>
          </w:tcPr>
          <w:p>
            <w:r/>
            <w:r>
              <w:rPr>
                <w:rFonts w:ascii="Arial" w:hAnsi="Arial" w:cs="Arial" w:eastAsia="Arial"/>
                <w:sz w:val="18"/>
              </w:rPr>
              <w:t>rol_requerido(*roles), sucursales_visibles(user), tickets_visibles(user)</w:t>
            </w:r>
          </w:p>
        </w:tc>
        <w:tc>
          <w:tcPr>
            <w:tcW w:type="dxa" w:w="3168"/>
          </w:tcPr>
          <w:p>
            <w:r/>
            <w:r>
              <w:rPr>
                <w:rFonts w:ascii="Arial" w:hAnsi="Arial" w:cs="Arial" w:eastAsia="Arial"/>
                <w:sz w:val="18"/>
              </w:rPr>
              <w:t>Control de acceso por rol (RBAC) y alcance multiempresa en cada vista.</w:t>
            </w:r>
          </w:p>
        </w:tc>
      </w:tr>
      <w:tr>
        <w:tc>
          <w:tcPr>
            <w:tcW w:type="dxa" w:w="2304"/>
          </w:tcPr>
          <w:p>
            <w:r/>
            <w:r>
              <w:rPr>
                <w:rFonts w:ascii="Arial" w:hAnsi="Arial" w:cs="Arial" w:eastAsia="Arial"/>
                <w:sz w:val="18"/>
              </w:rPr>
              <w:t>ofertas.services</w:t>
            </w:r>
          </w:p>
        </w:tc>
        <w:tc>
          <w:tcPr>
            <w:tcW w:type="dxa" w:w="3744"/>
          </w:tcPr>
          <w:p>
            <w:r/>
            <w:r>
              <w:rPr>
                <w:rFonts w:ascii="Arial" w:hAnsi="Arial" w:cs="Arial" w:eastAsia="Arial"/>
                <w:sz w:val="18"/>
              </w:rPr>
              <w:t>expirar_ofertas_vencidas()</w:t>
            </w:r>
          </w:p>
        </w:tc>
        <w:tc>
          <w:tcPr>
            <w:tcW w:type="dxa" w:w="3168"/>
          </w:tcPr>
          <w:p>
            <w:r/>
            <w:r>
              <w:rPr>
                <w:rFonts w:ascii="Arial" w:hAnsi="Arial" w:cs="Arial" w:eastAsia="Arial"/>
                <w:sz w:val="18"/>
              </w:rPr>
              <w:t>Vencimiento automático de ofertas no tomadas (lazy-check + comando).</w:t>
            </w:r>
          </w:p>
        </w:tc>
      </w:tr>
      <w:tr>
        <w:tc>
          <w:tcPr>
            <w:tcW w:type="dxa" w:w="2304"/>
          </w:tcPr>
          <w:p>
            <w:r/>
            <w:r>
              <w:rPr>
                <w:rFonts w:ascii="Arial" w:hAnsi="Arial" w:cs="Arial" w:eastAsia="Arial"/>
                <w:sz w:val="18"/>
              </w:rPr>
              <w:t>mantenimiento.services</w:t>
            </w:r>
          </w:p>
        </w:tc>
        <w:tc>
          <w:tcPr>
            <w:tcW w:type="dxa" w:w="3744"/>
          </w:tcPr>
          <w:p>
            <w:r/>
            <w:r>
              <w:rPr>
                <w:rFonts w:ascii="Arial" w:hAnsi="Arial" w:cs="Arial" w:eastAsia="Arial"/>
                <w:sz w:val="18"/>
              </w:rPr>
              <w:t>generar_tickets_preventivos(plan)</w:t>
            </w:r>
          </w:p>
        </w:tc>
        <w:tc>
          <w:tcPr>
            <w:tcW w:type="dxa" w:w="3168"/>
          </w:tcPr>
          <w:p>
            <w:r/>
            <w:r>
              <w:rPr>
                <w:rFonts w:ascii="Arial" w:hAnsi="Arial" w:cs="Arial" w:eastAsia="Arial"/>
                <w:sz w:val="18"/>
              </w:rPr>
              <w:t>Generación idempotente de tickets desde planes de mantenimiento vencidos.</w:t>
            </w:r>
          </w:p>
        </w:tc>
      </w:tr>
    </w:tbl>
    <w:p>
      <w:pPr>
        <w:spacing w:after="80"/>
      </w:pPr>
    </w:p>
    <w:p>
      <w:pPr>
        <w:pStyle w:val="Heading1"/>
      </w:pPr>
      <w:r>
        <w:rPr>
          <w:rFonts w:ascii="Arial" w:hAnsi="Arial" w:cs="Arial" w:eastAsia="Arial"/>
          <w:b/>
          <w:color w:val="17365D"/>
          <w:sz w:val="32"/>
        </w:rPr>
        <w:t>Notas de diseño</w:t>
      </w:r>
    </w:p>
    <w:p>
      <w:pPr>
        <w:pStyle w:val="ListBullet"/>
      </w:pPr>
      <w:r>
        <w:rPr>
          <w:rFonts w:ascii="Arial" w:hAnsi="Arial" w:cs="Arial" w:eastAsia="Arial"/>
          <w:sz w:val="22"/>
        </w:rPr>
        <w:t>Las relaciones Ticket–OfertaTicket y Ticket–OrdenTrabajo son uno a uno: cada ticket admite como máximo una oferta y una orden de trabajo activa a la vez.</w:t>
      </w:r>
    </w:p>
    <w:p>
      <w:pPr>
        <w:pStyle w:val="ListBullet"/>
      </w:pPr>
      <w:r>
        <w:rPr>
          <w:rFonts w:ascii="Arial" w:hAnsi="Arial" w:cs="Arial" w:eastAsia="Arial"/>
          <w:sz w:val="22"/>
        </w:rPr>
        <w:t>Tanto Ticket como OrdenTrabajo implementan su propia máquina de estados como diccionario de transiciones válidas (TRANSICIONES_VALIDAS), evitando cambios de estado inconsistentes desde las vistas.</w:t>
      </w:r>
    </w:p>
    <w:p>
      <w:pPr>
        <w:pStyle w:val="ListBullet"/>
      </w:pPr>
      <w:r>
        <w:rPr>
          <w:rFonts w:ascii="Arial" w:hAnsi="Arial" w:cs="Arial" w:eastAsia="Arial"/>
          <w:sz w:val="22"/>
        </w:rPr>
        <w:t>La lógica de negocio reutilizable (cálculo de SLA, vencimiento de ofertas, generación de preventivos) se aisló en módulos de servicio en vez de duplicarse en las vistas, siguiendo el principio de responsabilidad única.</w:t>
      </w:r>
    </w:p>
    <w:p>
      <w:pPr>
        <w:pStyle w:val="ListBullet"/>
      </w:pPr>
      <w:r>
        <w:rPr>
          <w:rFonts w:ascii="Arial" w:hAnsi="Arial" w:cs="Arial" w:eastAsia="Arial"/>
          <w:sz w:val="22"/>
        </w:rPr>
        <w:t>El diagrama omite las cardinalidades de cada asociación por claridad visual; el detalle completo de claves foráneas y restricciones está en el documento «Modelo de base de datos MySQL».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