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29276" w14:textId="44C5D201" w:rsidR="00CB57F5" w:rsidRDefault="005E43DD" w:rsidP="00CB57F5">
      <w:pPr>
        <w:rPr>
          <w:u w:val="single"/>
        </w:rPr>
      </w:pPr>
      <w:r>
        <w:rPr>
          <w:noProof/>
        </w:rPr>
        <w:drawing>
          <wp:anchor distT="0" distB="0" distL="114300" distR="114300" simplePos="0" relativeHeight="251659264" behindDoc="0" locked="0" layoutInCell="1" hidden="0" allowOverlap="1" wp14:anchorId="4CD754C7" wp14:editId="129AE32A">
            <wp:simplePos x="0" y="0"/>
            <wp:positionH relativeFrom="column">
              <wp:posOffset>1706197</wp:posOffset>
            </wp:positionH>
            <wp:positionV relativeFrom="paragraph">
              <wp:posOffset>-63033</wp:posOffset>
            </wp:positionV>
            <wp:extent cx="1880559" cy="1431985"/>
            <wp:effectExtent l="0" t="0" r="5715" b="0"/>
            <wp:wrapNone/>
            <wp:docPr id="906274243" name="image4.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Texto&#10;&#10;Descripción generada automáticamente"/>
                    <pic:cNvPicPr preferRelativeResize="0"/>
                  </pic:nvPicPr>
                  <pic:blipFill>
                    <a:blip r:embed="rId5"/>
                    <a:srcRect/>
                    <a:stretch>
                      <a:fillRect/>
                    </a:stretch>
                  </pic:blipFill>
                  <pic:spPr>
                    <a:xfrm>
                      <a:off x="0" y="0"/>
                      <a:ext cx="1891363" cy="1440212"/>
                    </a:xfrm>
                    <a:prstGeom prst="rect">
                      <a:avLst/>
                    </a:prstGeom>
                    <a:ln/>
                  </pic:spPr>
                </pic:pic>
              </a:graphicData>
            </a:graphic>
            <wp14:sizeRelH relativeFrom="margin">
              <wp14:pctWidth>0</wp14:pctWidth>
            </wp14:sizeRelH>
            <wp14:sizeRelV relativeFrom="margin">
              <wp14:pctHeight>0</wp14:pctHeight>
            </wp14:sizeRelV>
          </wp:anchor>
        </w:drawing>
      </w:r>
      <w:r w:rsidR="00CB57F5">
        <w:rPr>
          <w:u w:val="single"/>
        </w:rPr>
        <w:t xml:space="preserve">                                                                                                                                                                                                       </w:t>
      </w:r>
    </w:p>
    <w:p w14:paraId="5E69ADE7" w14:textId="77777777" w:rsidR="00CB57F5" w:rsidRDefault="00CB57F5" w:rsidP="00CB57F5">
      <w:pPr>
        <w:rPr>
          <w:u w:val="single"/>
        </w:rPr>
      </w:pPr>
    </w:p>
    <w:p w14:paraId="17416CA2" w14:textId="77777777" w:rsidR="00CB57F5" w:rsidRDefault="00CB57F5" w:rsidP="00CB57F5">
      <w:pPr>
        <w:rPr>
          <w:u w:val="single"/>
        </w:rPr>
      </w:pPr>
    </w:p>
    <w:p w14:paraId="43F1440A" w14:textId="77777777" w:rsidR="00CB57F5" w:rsidRDefault="00CB57F5" w:rsidP="00CB57F5">
      <w:pPr>
        <w:rPr>
          <w:u w:val="single"/>
        </w:rPr>
      </w:pPr>
    </w:p>
    <w:p w14:paraId="19CC0E86" w14:textId="77777777" w:rsidR="00CB57F5" w:rsidRDefault="00CB57F5" w:rsidP="00CB57F5">
      <w:pPr>
        <w:pBdr>
          <w:top w:val="nil"/>
          <w:left w:val="nil"/>
          <w:bottom w:val="nil"/>
          <w:right w:val="nil"/>
          <w:between w:val="nil"/>
        </w:pBdr>
        <w:spacing w:after="0" w:line="240" w:lineRule="auto"/>
        <w:jc w:val="center"/>
        <w:rPr>
          <w:color w:val="000000"/>
          <w:sz w:val="56"/>
          <w:szCs w:val="56"/>
        </w:rPr>
      </w:pPr>
    </w:p>
    <w:p w14:paraId="4455EAD2"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Universidad de Buenos Aires.</w:t>
      </w:r>
    </w:p>
    <w:p w14:paraId="2F1E4059"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Facultad de Ciencias Económicas</w:t>
      </w:r>
    </w:p>
    <w:p w14:paraId="369769CE" w14:textId="77777777" w:rsidR="00CB57F5" w:rsidRDefault="00CB57F5" w:rsidP="00CB57F5">
      <w:pPr>
        <w:pBdr>
          <w:top w:val="nil"/>
          <w:left w:val="nil"/>
          <w:bottom w:val="nil"/>
          <w:right w:val="nil"/>
          <w:between w:val="nil"/>
        </w:pBdr>
        <w:spacing w:after="80" w:line="240" w:lineRule="auto"/>
        <w:jc w:val="center"/>
        <w:rPr>
          <w:color w:val="000000"/>
          <w:sz w:val="56"/>
          <w:szCs w:val="56"/>
        </w:rPr>
      </w:pPr>
      <w:r>
        <w:rPr>
          <w:color w:val="000000"/>
          <w:sz w:val="56"/>
          <w:szCs w:val="56"/>
        </w:rPr>
        <w:t>Escuela de Estudios de Posgrado.</w:t>
      </w:r>
    </w:p>
    <w:p w14:paraId="69C2C4A6" w14:textId="77777777" w:rsidR="00CB57F5" w:rsidRDefault="00CB57F5" w:rsidP="00CB57F5"/>
    <w:p w14:paraId="6FFEF2B6" w14:textId="77777777" w:rsidR="00CB57F5" w:rsidRDefault="00CB57F5" w:rsidP="00CB57F5">
      <w:pPr>
        <w:pBdr>
          <w:top w:val="nil"/>
          <w:left w:val="nil"/>
          <w:bottom w:val="nil"/>
          <w:right w:val="nil"/>
          <w:between w:val="nil"/>
        </w:pBdr>
        <w:spacing w:after="80" w:line="240" w:lineRule="auto"/>
        <w:jc w:val="center"/>
        <w:rPr>
          <w:b/>
          <w:smallCaps/>
          <w:color w:val="000000"/>
          <w:sz w:val="44"/>
          <w:szCs w:val="44"/>
        </w:rPr>
      </w:pPr>
      <w:r>
        <w:rPr>
          <w:b/>
          <w:smallCaps/>
          <w:color w:val="000000"/>
          <w:sz w:val="44"/>
          <w:szCs w:val="44"/>
        </w:rPr>
        <w:t>MAESTRÍA EN ECONOMÍA APLICADA</w:t>
      </w:r>
    </w:p>
    <w:p w14:paraId="22B22B3A" w14:textId="77777777" w:rsidR="00CB57F5" w:rsidRDefault="00CB57F5" w:rsidP="00CB57F5"/>
    <w:p w14:paraId="28311455" w14:textId="77777777" w:rsidR="00CB57F5" w:rsidRDefault="00CB57F5" w:rsidP="00CB57F5"/>
    <w:p w14:paraId="7DE5C68F" w14:textId="22910DFE" w:rsidR="00CB57F5" w:rsidRDefault="00CB57F5" w:rsidP="00CB57F5">
      <w:pPr>
        <w:jc w:val="center"/>
        <w:rPr>
          <w:sz w:val="36"/>
          <w:szCs w:val="36"/>
        </w:rPr>
      </w:pPr>
      <w:r>
        <w:rPr>
          <w:sz w:val="36"/>
          <w:szCs w:val="36"/>
        </w:rPr>
        <w:t>Taller de Programación</w:t>
      </w:r>
    </w:p>
    <w:p w14:paraId="2C146169" w14:textId="0480AF83" w:rsidR="005C1D8A" w:rsidRDefault="002C6198" w:rsidP="00CB57F5">
      <w:pPr>
        <w:jc w:val="center"/>
        <w:rPr>
          <w:sz w:val="36"/>
          <w:szCs w:val="36"/>
          <w:shd w:val="clear" w:color="auto" w:fill="FF9900"/>
        </w:rPr>
      </w:pPr>
      <w:r>
        <w:rPr>
          <w:sz w:val="36"/>
          <w:szCs w:val="36"/>
          <w:shd w:val="clear" w:color="auto" w:fill="FF9900"/>
        </w:rPr>
        <w:t>Segundo</w:t>
      </w:r>
      <w:r w:rsidR="00CB57F5">
        <w:rPr>
          <w:sz w:val="36"/>
          <w:szCs w:val="36"/>
          <w:shd w:val="clear" w:color="auto" w:fill="FF9900"/>
        </w:rPr>
        <w:t xml:space="preserve"> Trabajo Práctico: </w:t>
      </w:r>
    </w:p>
    <w:p w14:paraId="1BCA0B17" w14:textId="77777777" w:rsidR="00977CBC" w:rsidRPr="00091954" w:rsidRDefault="00977CBC" w:rsidP="00977CBC">
      <w:pPr>
        <w:jc w:val="center"/>
        <w:rPr>
          <w:rFonts w:ascii="Century Schoolbook" w:eastAsia="Century Schoolbook" w:hAnsi="Century Schoolbook" w:cs="Century Schoolbook"/>
          <w:b/>
          <w:smallCaps/>
          <w:sz w:val="28"/>
          <w:szCs w:val="28"/>
          <w:lang w:val="pt-BR"/>
        </w:rPr>
      </w:pPr>
      <w:r w:rsidRPr="00091954">
        <w:rPr>
          <w:rFonts w:ascii="Century Schoolbook" w:eastAsia="Century Schoolbook" w:hAnsi="Century Schoolbook" w:cs="Century Schoolbook"/>
          <w:b/>
          <w:smallCaps/>
          <w:sz w:val="28"/>
          <w:szCs w:val="28"/>
          <w:lang w:val="pt-BR"/>
        </w:rPr>
        <w:t>Histogramas, Kernels &amp; Métodos No Supervisados usando la EPH</w:t>
      </w:r>
    </w:p>
    <w:p w14:paraId="72FF594D" w14:textId="53885174" w:rsidR="00CB57F5" w:rsidRPr="00091954" w:rsidRDefault="00CB57F5" w:rsidP="00CB57F5">
      <w:pPr>
        <w:jc w:val="center"/>
        <w:rPr>
          <w:sz w:val="36"/>
          <w:szCs w:val="36"/>
          <w:shd w:val="clear" w:color="auto" w:fill="FF9900"/>
          <w:lang w:val="pt-BR"/>
        </w:rPr>
      </w:pPr>
    </w:p>
    <w:p w14:paraId="4911DAD4" w14:textId="78C8447B" w:rsidR="00CB57F5" w:rsidRPr="00C52837" w:rsidRDefault="00CB57F5" w:rsidP="00CB57F5">
      <w:pPr>
        <w:rPr>
          <w:b/>
          <w:smallCaps/>
          <w:sz w:val="28"/>
          <w:szCs w:val="28"/>
          <w:lang w:val="pt-BR"/>
        </w:rPr>
      </w:pPr>
      <w:r w:rsidRPr="00C52837">
        <w:rPr>
          <w:b/>
          <w:smallCaps/>
          <w:sz w:val="28"/>
          <w:szCs w:val="28"/>
          <w:lang w:val="pt-BR"/>
        </w:rPr>
        <w:t>Autores</w:t>
      </w:r>
      <w:r w:rsidR="005E43DD" w:rsidRPr="00C52837">
        <w:rPr>
          <w:b/>
          <w:smallCaps/>
          <w:sz w:val="28"/>
          <w:szCs w:val="28"/>
          <w:lang w:val="pt-BR"/>
        </w:rPr>
        <w:t>:</w:t>
      </w:r>
    </w:p>
    <w:p w14:paraId="4D04DA98" w14:textId="70100A71" w:rsidR="00CB57F5" w:rsidRDefault="00CB57F5" w:rsidP="00CB57F5">
      <w:pPr>
        <w:spacing w:after="0"/>
        <w:rPr>
          <w:smallCaps/>
          <w:sz w:val="28"/>
          <w:szCs w:val="28"/>
          <w:lang w:val="pt-BR"/>
        </w:rPr>
      </w:pPr>
      <w:r>
        <w:rPr>
          <w:smallCaps/>
          <w:sz w:val="28"/>
          <w:szCs w:val="28"/>
          <w:lang w:val="pt-BR"/>
        </w:rPr>
        <w:t xml:space="preserve">Kostzer </w:t>
      </w:r>
      <w:r w:rsidRPr="00CB57F5">
        <w:rPr>
          <w:smallCaps/>
          <w:sz w:val="28"/>
          <w:szCs w:val="28"/>
          <w:lang w:val="pt-BR"/>
        </w:rPr>
        <w:t>Feder</w:t>
      </w:r>
      <w:r>
        <w:rPr>
          <w:smallCaps/>
          <w:sz w:val="28"/>
          <w:szCs w:val="28"/>
          <w:lang w:val="pt-BR"/>
        </w:rPr>
        <w:t xml:space="preserve">ico </w:t>
      </w:r>
    </w:p>
    <w:p w14:paraId="4C0DBCAD" w14:textId="7203EB33" w:rsidR="00CB57F5" w:rsidRPr="00CB57F5" w:rsidRDefault="00CB57F5" w:rsidP="00CB57F5">
      <w:pPr>
        <w:spacing w:after="0"/>
        <w:rPr>
          <w:smallCaps/>
          <w:sz w:val="28"/>
          <w:szCs w:val="28"/>
          <w:lang w:val="pt-BR"/>
        </w:rPr>
      </w:pPr>
      <w:r>
        <w:rPr>
          <w:smallCaps/>
          <w:sz w:val="28"/>
          <w:szCs w:val="28"/>
          <w:lang w:val="pt-BR"/>
        </w:rPr>
        <w:t>Meza Palma Manuel H.</w:t>
      </w:r>
    </w:p>
    <w:p w14:paraId="2FB2223D" w14:textId="77777777" w:rsidR="00CB57F5" w:rsidRPr="00CB57F5" w:rsidRDefault="00CB57F5" w:rsidP="00CB57F5">
      <w:pPr>
        <w:spacing w:after="0"/>
        <w:rPr>
          <w:b/>
          <w:smallCaps/>
          <w:sz w:val="28"/>
          <w:szCs w:val="28"/>
          <w:lang w:val="pt-BR"/>
        </w:rPr>
      </w:pPr>
      <w:r w:rsidRPr="00CB57F5">
        <w:rPr>
          <w:smallCaps/>
          <w:sz w:val="28"/>
          <w:szCs w:val="28"/>
          <w:lang w:val="pt-BR"/>
        </w:rPr>
        <w:t>Pardini Maximiliano G.</w:t>
      </w:r>
    </w:p>
    <w:p w14:paraId="5FD84C9C" w14:textId="1774D97D" w:rsidR="00CB57F5" w:rsidRPr="005E43DD" w:rsidRDefault="00CB57F5" w:rsidP="00CB57F5">
      <w:pPr>
        <w:rPr>
          <w:smallCaps/>
          <w:sz w:val="28"/>
          <w:szCs w:val="28"/>
          <w:lang w:val="pt-BR"/>
        </w:rPr>
      </w:pPr>
      <w:r w:rsidRPr="00CB57F5">
        <w:rPr>
          <w:b/>
          <w:smallCaps/>
          <w:lang w:val="pt-BR"/>
        </w:rPr>
        <w:br/>
      </w:r>
      <w:r w:rsidR="005E43DD" w:rsidRPr="005E43DD">
        <w:rPr>
          <w:b/>
          <w:smallCaps/>
          <w:sz w:val="28"/>
          <w:szCs w:val="28"/>
          <w:lang w:val="pt-BR"/>
        </w:rPr>
        <w:t>docente</w:t>
      </w:r>
      <w:r w:rsidRPr="005E43DD">
        <w:rPr>
          <w:b/>
          <w:smallCaps/>
          <w:sz w:val="28"/>
          <w:szCs w:val="28"/>
          <w:lang w:val="pt-BR"/>
        </w:rPr>
        <w:t xml:space="preserve">: </w:t>
      </w:r>
      <w:r w:rsidRPr="005E43DD">
        <w:rPr>
          <w:smallCaps/>
          <w:sz w:val="28"/>
          <w:szCs w:val="28"/>
          <w:lang w:val="pt-BR"/>
        </w:rPr>
        <w:t>Romero Maria Noelia</w:t>
      </w:r>
    </w:p>
    <w:p w14:paraId="07FFDD55" w14:textId="77777777" w:rsidR="00CB57F5" w:rsidRPr="005E43DD" w:rsidRDefault="00CB57F5" w:rsidP="00CB57F5">
      <w:pPr>
        <w:rPr>
          <w:smallCaps/>
          <w:sz w:val="28"/>
          <w:szCs w:val="28"/>
          <w:lang w:val="pt-BR"/>
        </w:rPr>
      </w:pPr>
    </w:p>
    <w:p w14:paraId="7DDAC57D" w14:textId="55720B58" w:rsidR="00CB57F5" w:rsidRPr="00C52837" w:rsidRDefault="005E43DD" w:rsidP="00CB57F5">
      <w:pPr>
        <w:pBdr>
          <w:top w:val="nil"/>
          <w:left w:val="nil"/>
          <w:bottom w:val="nil"/>
          <w:right w:val="nil"/>
          <w:between w:val="nil"/>
        </w:pBdr>
        <w:spacing w:after="80" w:line="240" w:lineRule="auto"/>
        <w:jc w:val="center"/>
        <w:rPr>
          <w:smallCaps/>
          <w:color w:val="000000"/>
          <w:sz w:val="36"/>
          <w:szCs w:val="36"/>
        </w:rPr>
      </w:pPr>
      <w:r w:rsidRPr="00C52837">
        <w:rPr>
          <w:smallCaps/>
          <w:sz w:val="36"/>
          <w:szCs w:val="36"/>
        </w:rPr>
        <w:t>Octubre</w:t>
      </w:r>
      <w:r w:rsidR="00CB57F5" w:rsidRPr="00C52837">
        <w:rPr>
          <w:smallCaps/>
          <w:color w:val="000000"/>
          <w:sz w:val="36"/>
          <w:szCs w:val="36"/>
        </w:rPr>
        <w:t xml:space="preserve"> 2025</w:t>
      </w:r>
    </w:p>
    <w:p w14:paraId="42C0D943" w14:textId="77777777" w:rsidR="00CB57F5" w:rsidRPr="00C52837" w:rsidRDefault="00CB57F5">
      <w:pPr>
        <w:rPr>
          <w:rFonts w:ascii="Century Schoolbook" w:eastAsia="Century Schoolbook" w:hAnsi="Century Schoolbook" w:cs="Century Schoolbook"/>
          <w:color w:val="002060"/>
          <w:sz w:val="24"/>
          <w:szCs w:val="24"/>
        </w:rPr>
      </w:pPr>
    </w:p>
    <w:p w14:paraId="06AE447A" w14:textId="77777777" w:rsidR="00CB57F5" w:rsidRPr="000F3651" w:rsidRDefault="00CB57F5">
      <w:pPr>
        <w:rPr>
          <w:rFonts w:ascii="Century Schoolbook" w:eastAsia="Century Schoolbook" w:hAnsi="Century Schoolbook" w:cs="Century Schoolbook"/>
          <w:b/>
          <w:bCs/>
          <w:color w:val="002060"/>
          <w:sz w:val="24"/>
          <w:szCs w:val="24"/>
        </w:rPr>
      </w:pPr>
    </w:p>
    <w:p w14:paraId="562AE926" w14:textId="3FB4E7AC" w:rsidR="009C1038" w:rsidRPr="000F3651" w:rsidRDefault="009C1038" w:rsidP="009C1038">
      <w:pPr>
        <w:rPr>
          <w:rFonts w:ascii="Century Schoolbook" w:eastAsia="Century Schoolbook" w:hAnsi="Century Schoolbook" w:cs="Century Schoolbook"/>
          <w:b/>
          <w:bCs/>
          <w:color w:val="002060"/>
          <w:lang w:val="es-US"/>
        </w:rPr>
      </w:pPr>
      <w:r w:rsidRPr="000F3651">
        <w:rPr>
          <w:rFonts w:ascii="Century Schoolbook" w:eastAsia="Century Schoolbook" w:hAnsi="Century Schoolbook" w:cs="Century Schoolbook"/>
          <w:b/>
          <w:bCs/>
          <w:color w:val="002060"/>
          <w:lang w:val="es-US"/>
        </w:rPr>
        <w:lastRenderedPageBreak/>
        <w:t xml:space="preserve">Parte I: </w:t>
      </w:r>
      <w:r w:rsidR="002C6198" w:rsidRPr="000F3651">
        <w:rPr>
          <w:rFonts w:ascii="Century Schoolbook" w:eastAsia="Century Schoolbook" w:hAnsi="Century Schoolbook" w:cs="Century Schoolbook"/>
          <w:b/>
          <w:bCs/>
          <w:color w:val="002060"/>
          <w:lang w:val="es-US"/>
        </w:rPr>
        <w:t>Creación de variables, histogramas, kernels y resumen de la base de datos final</w:t>
      </w:r>
    </w:p>
    <w:p w14:paraId="6A405E6F" w14:textId="2C697B11" w:rsidR="0066014D" w:rsidRPr="000F3651" w:rsidRDefault="00091954" w:rsidP="0066014D">
      <w:pPr>
        <w:pStyle w:val="NormalWeb"/>
        <w:numPr>
          <w:ilvl w:val="0"/>
          <w:numId w:val="2"/>
        </w:numPr>
        <w:rPr>
          <w:b/>
          <w:bCs/>
        </w:rPr>
      </w:pPr>
      <w:r w:rsidRPr="000F3651">
        <w:rPr>
          <w:b/>
          <w:bCs/>
        </w:rPr>
        <w:t xml:space="preserve"> Distribución de la edad por condición de pobreza (Panel A y Panel B)</w:t>
      </w:r>
    </w:p>
    <w:p w14:paraId="19DF99A9" w14:textId="13AE0255" w:rsidR="00091954" w:rsidRPr="00BA330C" w:rsidRDefault="00091954" w:rsidP="00091954">
      <w:pPr>
        <w:pStyle w:val="NormalWeb"/>
      </w:pPr>
      <w:r w:rsidRPr="00BA330C">
        <w:t xml:space="preserve">El análisis descriptivo de la variable edad (ch06) muestra que la muestra está compuesta por </w:t>
      </w:r>
      <w:r w:rsidR="00A61865">
        <w:t>23.569</w:t>
      </w:r>
      <w:r w:rsidRPr="00BA330C">
        <w:t xml:space="preserve"> observaciones, con una edad promedio de 32,5 años y una desviación estándar de </w:t>
      </w:r>
      <w:r w:rsidR="00A61865">
        <w:t>22</w:t>
      </w:r>
      <w:r w:rsidRPr="00BA330C">
        <w:t xml:space="preserve"> años, lo que evidencia una distribución bastante amplia. La edad mínima registrada es de 1 año y la máxima de 97 años.</w:t>
      </w:r>
      <w:r w:rsidR="00AF5866" w:rsidRPr="00BA330C">
        <w:t xml:space="preserve"> </w:t>
      </w:r>
      <w:r w:rsidRPr="00BA330C">
        <w:t>Al desagregar por condición de pobreza, se observa que los hogares no pobres presentan una edad promedio de 3</w:t>
      </w:r>
      <w:r w:rsidR="00A61865">
        <w:t>6</w:t>
      </w:r>
      <w:r w:rsidRPr="00BA330C">
        <w:t>,</w:t>
      </w:r>
      <w:r w:rsidR="00A61865">
        <w:t>7</w:t>
      </w:r>
      <w:r w:rsidRPr="00BA330C">
        <w:t xml:space="preserve"> años, mientras que los hogares pobres tienen una media significativamente menor, de 24,</w:t>
      </w:r>
      <w:r w:rsidR="00A61865">
        <w:t xml:space="preserve">3 </w:t>
      </w:r>
      <w:r w:rsidRPr="00BA330C">
        <w:t>años, reflejando una población más joven.</w:t>
      </w:r>
    </w:p>
    <w:p w14:paraId="010EF9D5" w14:textId="6A0F8162" w:rsidR="00091954" w:rsidRDefault="00091954" w:rsidP="00091954">
      <w:pPr>
        <w:pStyle w:val="NormalWeb"/>
      </w:pPr>
      <w:r w:rsidRPr="00BA330C">
        <w:t>En cuanto a los gráficos, el histograma muestra una mayor concentración de individuos entre los 20 y 40 años, con una caída</w:t>
      </w:r>
      <w:r w:rsidR="00795377">
        <w:t xml:space="preserve"> casi constante</w:t>
      </w:r>
      <w:r w:rsidRPr="00BA330C">
        <w:t xml:space="preserve"> hacia edades avanzadas</w:t>
      </w:r>
      <w:r w:rsidR="00795377">
        <w:t xml:space="preserve"> en torno a los 50 a</w:t>
      </w:r>
      <w:r w:rsidR="00795377">
        <w:rPr>
          <w:lang w:val="es-HN"/>
        </w:rPr>
        <w:t>años</w:t>
      </w:r>
      <w:r w:rsidRPr="00BA330C">
        <w:t>. El gráfico de densidad (KDE), por su parte, evidencia que la distribución etaria de los hogares pobres está desplazada hacia la izquierda</w:t>
      </w:r>
      <w:r w:rsidR="00795377">
        <w:t xml:space="preserve"> con una fuerte concentración alrededor de los </w:t>
      </w:r>
      <w:r w:rsidR="00DF4DBA">
        <w:t>15</w:t>
      </w:r>
      <w:r w:rsidR="00795377">
        <w:t xml:space="preserve"> años</w:t>
      </w:r>
      <w:r w:rsidRPr="00BA330C">
        <w:t>, indicando que la pobreza afecta con mayor intensidad a grupos etarios más jóvenes.</w:t>
      </w:r>
    </w:p>
    <w:p w14:paraId="1BBC48D2" w14:textId="154F2C25" w:rsidR="00DF4DBA" w:rsidRPr="00BA330C" w:rsidRDefault="00DF4DBA" w:rsidP="00091954">
      <w:pPr>
        <w:pStyle w:val="NormalWeb"/>
      </w:pPr>
      <w:r w:rsidRPr="00DF4DBA">
        <w:drawing>
          <wp:inline distT="0" distB="0" distL="0" distR="0" wp14:anchorId="195D55AB" wp14:editId="71524C48">
            <wp:extent cx="5400040" cy="22256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225675"/>
                    </a:xfrm>
                    <a:prstGeom prst="rect">
                      <a:avLst/>
                    </a:prstGeom>
                  </pic:spPr>
                </pic:pic>
              </a:graphicData>
            </a:graphic>
          </wp:inline>
        </w:drawing>
      </w:r>
    </w:p>
    <w:p w14:paraId="48FDE318" w14:textId="70ACE84E" w:rsidR="00480A3C" w:rsidRPr="000F3651" w:rsidRDefault="00480A3C" w:rsidP="0066014D">
      <w:pPr>
        <w:pStyle w:val="NormalWeb"/>
        <w:numPr>
          <w:ilvl w:val="0"/>
          <w:numId w:val="2"/>
        </w:numPr>
        <w:rPr>
          <w:b/>
          <w:bCs/>
        </w:rPr>
      </w:pPr>
      <w:r w:rsidRPr="000F3651">
        <w:rPr>
          <w:b/>
          <w:bCs/>
        </w:rPr>
        <w:t>Distribución de los años de educación formal</w:t>
      </w:r>
    </w:p>
    <w:p w14:paraId="0DD45680" w14:textId="22380981" w:rsidR="00CE43D4" w:rsidRPr="00BA330C" w:rsidRDefault="00937386" w:rsidP="00AF5866">
      <w:pPr>
        <w:pStyle w:val="NormalWeb"/>
      </w:pPr>
      <w:r w:rsidRPr="00937386">
        <w:drawing>
          <wp:anchor distT="0" distB="0" distL="114300" distR="114300" simplePos="0" relativeHeight="251660288" behindDoc="1" locked="0" layoutInCell="1" allowOverlap="1" wp14:anchorId="5090B910" wp14:editId="4EFF6AAA">
            <wp:simplePos x="0" y="0"/>
            <wp:positionH relativeFrom="column">
              <wp:posOffset>2342515</wp:posOffset>
            </wp:positionH>
            <wp:positionV relativeFrom="paragraph">
              <wp:posOffset>551815</wp:posOffset>
            </wp:positionV>
            <wp:extent cx="3414395" cy="2279650"/>
            <wp:effectExtent l="0" t="0" r="0" b="6350"/>
            <wp:wrapTight wrapText="bothSides">
              <wp:wrapPolygon edited="0">
                <wp:start x="0" y="0"/>
                <wp:lineTo x="0" y="21480"/>
                <wp:lineTo x="21451" y="21480"/>
                <wp:lineTo x="2145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14395" cy="2279650"/>
                    </a:xfrm>
                    <a:prstGeom prst="rect">
                      <a:avLst/>
                    </a:prstGeom>
                  </pic:spPr>
                </pic:pic>
              </a:graphicData>
            </a:graphic>
            <wp14:sizeRelH relativeFrom="margin">
              <wp14:pctWidth>0</wp14:pctWidth>
            </wp14:sizeRelH>
            <wp14:sizeRelV relativeFrom="margin">
              <wp14:pctHeight>0</wp14:pctHeight>
            </wp14:sizeRelV>
          </wp:anchor>
        </w:drawing>
      </w:r>
      <w:r w:rsidR="00480A3C" w:rsidRPr="00BA330C">
        <w:t>La variable</w:t>
      </w:r>
      <w:r w:rsidR="00444DB7">
        <w:t xml:space="preserve"> de años de educación</w:t>
      </w:r>
      <w:r w:rsidR="00480A3C" w:rsidRPr="00BA330C">
        <w:t xml:space="preserve"> </w:t>
      </w:r>
      <w:r w:rsidR="00444DB7">
        <w:t>(</w:t>
      </w:r>
      <w:r w:rsidR="00480A3C" w:rsidRPr="00BA330C">
        <w:t>educ</w:t>
      </w:r>
      <w:r w:rsidR="00444DB7">
        <w:t>)</w:t>
      </w:r>
      <w:r w:rsidR="00480A3C" w:rsidRPr="00BA330C">
        <w:t>, que mide la cantidad de años de educación formal, presenta un promedio de 6 años con una desviación estándar de aproximadamente 4,</w:t>
      </w:r>
      <w:r w:rsidR="00795377">
        <w:t>72</w:t>
      </w:r>
      <w:r w:rsidR="00480A3C" w:rsidRPr="00BA330C">
        <w:t xml:space="preserve">, lo que indica una alta dispersión en el nivel educativo alcanzado entre los individuos. El valor mínimo es 0 años (personas sin educación formal) y el máximo es 18 años, correspondiente a quienes completaron estudios de posgrado. La mediana (p50) </w:t>
      </w:r>
      <w:r>
        <w:t>coincide con la media en 6 años</w:t>
      </w:r>
      <w:r w:rsidR="00480A3C" w:rsidRPr="00BA330C">
        <w:t>, lo que sugiere que al menos la mitad de los encuestados completó la educación primaria</w:t>
      </w:r>
      <w:r>
        <w:t>, esta alineación también indica cierta simetría entre los valores alrededor de la media</w:t>
      </w:r>
      <w:r w:rsidR="00480A3C" w:rsidRPr="00BA330C">
        <w:t>. En el histograma, la distribución se concentra en los primeros años de escolaridad, con una caída progresiva hacia los niveles educativos más altos</w:t>
      </w:r>
      <w:r>
        <w:t xml:space="preserve"> mostrando</w:t>
      </w:r>
      <w:r w:rsidR="00DF4DBA">
        <w:t xml:space="preserve"> fuertes concentraciones en la media</w:t>
      </w:r>
      <w:r w:rsidR="00025727">
        <w:t xml:space="preserve"> y alrededor de los 10 años de estudio</w:t>
      </w:r>
      <w:r w:rsidR="00480A3C" w:rsidRPr="00BA330C">
        <w:t>, reflejando un patrón de baja escolarización promedio en la muestra analizada.</w:t>
      </w:r>
    </w:p>
    <w:p w14:paraId="7B933DC8" w14:textId="37048E73" w:rsidR="00CE43D4" w:rsidRPr="000F3651" w:rsidRDefault="000F3651" w:rsidP="000F3651">
      <w:pPr>
        <w:pStyle w:val="Prrafodelista"/>
        <w:numPr>
          <w:ilvl w:val="0"/>
          <w:numId w:val="2"/>
        </w:numPr>
        <w:rPr>
          <w:rFonts w:ascii="Times New Roman" w:eastAsia="Century Schoolbook" w:hAnsi="Times New Roman" w:cs="Times New Roman"/>
          <w:b/>
          <w:bCs/>
          <w:lang w:val="es-US"/>
        </w:rPr>
      </w:pPr>
      <w:r w:rsidRPr="000F3651">
        <w:rPr>
          <w:rFonts w:ascii="Times New Roman" w:eastAsia="Century Schoolbook" w:hAnsi="Times New Roman" w:cs="Times New Roman"/>
          <w:b/>
          <w:bCs/>
          <w:lang w:val="es-US"/>
        </w:rPr>
        <w:t>Ingreso familiar</w:t>
      </w:r>
    </w:p>
    <w:p w14:paraId="3E5F299F" w14:textId="6EF76963" w:rsidR="00AF5866" w:rsidRPr="00BA330C" w:rsidRDefault="00025727" w:rsidP="00CE43D4">
      <w:pPr>
        <w:rPr>
          <w:rFonts w:ascii="Times New Roman" w:eastAsia="Century Schoolbook" w:hAnsi="Times New Roman" w:cs="Times New Roman"/>
        </w:rPr>
      </w:pPr>
      <w:r w:rsidRPr="00BA330C">
        <w:rPr>
          <w:rFonts w:ascii="Times New Roman" w:eastAsia="Century Schoolbook" w:hAnsi="Times New Roman" w:cs="Times New Roman"/>
        </w:rPr>
        <w:t xml:space="preserve">La distribución del ingreso total familiar ajustado a 2025 muestra una alta dispersión, con un promedio de </w:t>
      </w:r>
      <w:r w:rsidRPr="00025727">
        <w:rPr>
          <w:rFonts w:ascii="Times New Roman" w:eastAsia="Century Schoolbook" w:hAnsi="Times New Roman" w:cs="Times New Roman"/>
        </w:rPr>
        <w:t>926</w:t>
      </w:r>
      <w:r>
        <w:rPr>
          <w:rFonts w:ascii="Times New Roman" w:eastAsia="Century Schoolbook" w:hAnsi="Times New Roman" w:cs="Times New Roman"/>
        </w:rPr>
        <w:t>.</w:t>
      </w:r>
      <w:r w:rsidRPr="00025727">
        <w:rPr>
          <w:rFonts w:ascii="Times New Roman" w:eastAsia="Century Schoolbook" w:hAnsi="Times New Roman" w:cs="Times New Roman"/>
        </w:rPr>
        <w:t>482</w:t>
      </w:r>
      <w:r>
        <w:rPr>
          <w:rFonts w:ascii="Times New Roman" w:eastAsia="Century Schoolbook" w:hAnsi="Times New Roman" w:cs="Times New Roman"/>
        </w:rPr>
        <w:t xml:space="preserve"> </w:t>
      </w:r>
      <w:r w:rsidRPr="00BA330C">
        <w:rPr>
          <w:rFonts w:ascii="Times New Roman" w:eastAsia="Century Schoolbook" w:hAnsi="Times New Roman" w:cs="Times New Roman"/>
        </w:rPr>
        <w:t>pesos, un valor mínimo de</w:t>
      </w:r>
      <w:r>
        <w:rPr>
          <w:rFonts w:ascii="Times New Roman" w:eastAsia="Century Schoolbook" w:hAnsi="Times New Roman" w:cs="Times New Roman"/>
        </w:rPr>
        <w:t xml:space="preserve"> 8.496</w:t>
      </w:r>
      <w:r w:rsidRPr="00BA330C">
        <w:rPr>
          <w:rFonts w:ascii="Times New Roman" w:eastAsia="Century Schoolbook" w:hAnsi="Times New Roman" w:cs="Times New Roman"/>
        </w:rPr>
        <w:t xml:space="preserve"> y un máximo de 26.000.000 pesos, lo que evidencia la existencia de hogares con ingresos muy heterogéneos</w:t>
      </w:r>
      <w:r w:rsidR="00AF5866" w:rsidRPr="00BA330C">
        <w:rPr>
          <w:rFonts w:ascii="Times New Roman" w:eastAsia="Century Schoolbook" w:hAnsi="Times New Roman" w:cs="Times New Roman"/>
        </w:rPr>
        <w:t xml:space="preserve">. En el Panel A, el histograma refleja </w:t>
      </w:r>
      <w:r w:rsidR="00D637B8">
        <w:rPr>
          <w:rFonts w:ascii="Times New Roman" w:eastAsia="Century Schoolbook" w:hAnsi="Times New Roman" w:cs="Times New Roman"/>
        </w:rPr>
        <w:t xml:space="preserve">que la mayoría de los hogares perciben un ingreso menor a los 5 millones pero ubicándose la gran mayoría por encima de la línea de la pobreza. </w:t>
      </w:r>
      <w:r w:rsidR="00AF5866" w:rsidRPr="00BA330C">
        <w:rPr>
          <w:rFonts w:ascii="Times New Roman" w:eastAsia="Century Schoolbook" w:hAnsi="Times New Roman" w:cs="Times New Roman"/>
        </w:rPr>
        <w:t>En el Panel B, las distribuciones kernel muestran que los hogares pobres se concentran en valores bajos de ingreso, por debajo de la línea de pobreza, mientras que los hogares no pobres presentan una distribución más amplia y desplazada hacia ingresos mayores.</w:t>
      </w:r>
    </w:p>
    <w:p w14:paraId="2ABC3E1A" w14:textId="2FE8C7B3" w:rsidR="00AF5866" w:rsidRPr="00BA330C" w:rsidRDefault="004618A8" w:rsidP="00CE43D4">
      <w:pPr>
        <w:rPr>
          <w:rFonts w:ascii="Times New Roman" w:eastAsia="Century Schoolbook" w:hAnsi="Times New Roman" w:cs="Times New Roman"/>
        </w:rPr>
      </w:pPr>
      <w:r w:rsidRPr="004618A8">
        <w:rPr>
          <w:rFonts w:ascii="Times New Roman" w:eastAsia="Century Schoolbook" w:hAnsi="Times New Roman" w:cs="Times New Roman"/>
        </w:rPr>
        <w:drawing>
          <wp:inline distT="0" distB="0" distL="0" distR="0" wp14:anchorId="1041E92F" wp14:editId="1885189F">
            <wp:extent cx="5400040" cy="20015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001520"/>
                    </a:xfrm>
                    <a:prstGeom prst="rect">
                      <a:avLst/>
                    </a:prstGeom>
                  </pic:spPr>
                </pic:pic>
              </a:graphicData>
            </a:graphic>
          </wp:inline>
        </w:drawing>
      </w:r>
    </w:p>
    <w:p w14:paraId="71D2A1FD" w14:textId="12A72A03" w:rsidR="00CE43D4" w:rsidRPr="00BA330C" w:rsidRDefault="00CE43D4" w:rsidP="00CE43D4">
      <w:pPr>
        <w:rPr>
          <w:rFonts w:ascii="Times New Roman" w:eastAsia="Century Schoolbook" w:hAnsi="Times New Roman" w:cs="Times New Roman"/>
        </w:rPr>
      </w:pPr>
      <w:r w:rsidRPr="00BA330C">
        <w:rPr>
          <w:rFonts w:ascii="Times New Roman" w:eastAsia="Century Schoolbook" w:hAnsi="Times New Roman" w:cs="Times New Roman"/>
        </w:rPr>
        <w:t>Coeficiente de actualización 2005–2025 obtenido multiplicando los factores de inflación oficial anual y mensual reportados por el INDEC y complementados con fuentes confiables (lanacion.com.ar, infobae.com, diariodemocracia.com, diarioc.com.ar, mdzol.com, pagina12.com, ámbito.com, chequeado.com).</w:t>
      </w:r>
    </w:p>
    <w:p w14:paraId="32AC958C" w14:textId="12B6BB0F" w:rsidR="00D637B8" w:rsidRPr="0051555D" w:rsidRDefault="000F3651" w:rsidP="00D637B8">
      <w:pPr>
        <w:pStyle w:val="Prrafodelista"/>
        <w:numPr>
          <w:ilvl w:val="0"/>
          <w:numId w:val="2"/>
        </w:numPr>
        <w:rPr>
          <w:rFonts w:ascii="Times New Roman" w:eastAsia="Century Schoolbook" w:hAnsi="Times New Roman" w:cs="Times New Roman"/>
          <w:b/>
          <w:bCs/>
          <w:lang w:val="es-US"/>
        </w:rPr>
      </w:pPr>
      <w:r w:rsidRPr="000F3651">
        <w:rPr>
          <w:rFonts w:ascii="Times New Roman" w:eastAsia="Century Schoolbook" w:hAnsi="Times New Roman" w:cs="Times New Roman"/>
          <w:b/>
          <w:bCs/>
        </w:rPr>
        <w:t>Distribución de horas trabajadas por el jefe del hogar</w:t>
      </w:r>
    </w:p>
    <w:p w14:paraId="1FF8D711" w14:textId="518827F6" w:rsidR="00BA330C" w:rsidRPr="0051555D" w:rsidRDefault="0051555D" w:rsidP="00BA330C">
      <w:pPr>
        <w:rPr>
          <w:rFonts w:ascii="Times New Roman" w:eastAsia="Century Schoolbook" w:hAnsi="Times New Roman" w:cs="Times New Roman"/>
          <w:lang w:val="es-US"/>
        </w:rPr>
      </w:pPr>
      <w:r>
        <w:rPr>
          <w:rFonts w:ascii="Times New Roman" w:eastAsia="Century Schoolbook" w:hAnsi="Times New Roman" w:cs="Times New Roman"/>
          <w:lang w:val="es-US"/>
        </w:rPr>
        <w:t>Los jefes de hogar trabajaron en promedio 15 horas con una desviación típica de 32 horas lo que indica una enorme variabilidad en el acumulado de horas dedicadas al trabajo en las diferentes ocupaciones</w:t>
      </w:r>
    </w:p>
    <w:p w14:paraId="1F39F306" w14:textId="55A677BA" w:rsidR="0066014D" w:rsidRPr="00BA330C" w:rsidRDefault="00BA330C" w:rsidP="0066014D">
      <w:pPr>
        <w:pStyle w:val="Prrafodelista"/>
        <w:numPr>
          <w:ilvl w:val="0"/>
          <w:numId w:val="2"/>
        </w:numPr>
        <w:rPr>
          <w:rFonts w:ascii="Times New Roman" w:eastAsia="Century Schoolbook" w:hAnsi="Times New Roman" w:cs="Times New Roman"/>
          <w:b/>
          <w:bCs/>
          <w:lang w:val="es-US"/>
        </w:rPr>
      </w:pPr>
      <w:r>
        <w:rPr>
          <w:rFonts w:ascii="Times New Roman" w:eastAsia="Century Schoolbook" w:hAnsi="Times New Roman" w:cs="Times New Roman"/>
          <w:b/>
          <w:bCs/>
          <w:lang w:val="es-US"/>
        </w:rPr>
        <w:t>Tamaño base de datos</w:t>
      </w:r>
    </w:p>
    <w:p w14:paraId="6A84F6DC" w14:textId="789D2C91" w:rsidR="002C6198" w:rsidRPr="004C5874" w:rsidRDefault="004C5874" w:rsidP="009C1038">
      <w:pPr>
        <w:rPr>
          <w:rFonts w:ascii="Times New Roman" w:eastAsia="Century Schoolbook" w:hAnsi="Times New Roman" w:cs="Times New Roman"/>
        </w:rPr>
      </w:pPr>
      <w:r w:rsidRPr="004C5874">
        <w:rPr>
          <w:rFonts w:ascii="Times New Roman" w:eastAsia="Century Schoolbook" w:hAnsi="Times New Roman" w:cs="Times New Roman"/>
        </w:rPr>
        <w:t>La base final para la región 43 contiene 23.821 observaciones en total, con 14.481 del año 2005 y 9.340 del año 2025. No hay valores faltantes en la variable “pobre”. Se registran 2.900 hogares pobres (1.780 en 2005 y 1.120 en 2025) y 20.921 hogares no pobres (12.701 en 2005 y 8.220 en 2025). La cantidad de variables limpias y homogeneizadas es de 261, manteniendo consistencia en ambos períodos. Esto permite realizar análisis comparativos confiables entre los dos trimestres.</w:t>
      </w:r>
    </w:p>
    <w:tbl>
      <w:tblPr>
        <w:tblW w:w="5680" w:type="dxa"/>
        <w:jc w:val="center"/>
        <w:tblCellMar>
          <w:left w:w="70" w:type="dxa"/>
          <w:right w:w="70" w:type="dxa"/>
        </w:tblCellMar>
        <w:tblLook w:val="04A0" w:firstRow="1" w:lastRow="0" w:firstColumn="1" w:lastColumn="0" w:noHBand="0" w:noVBand="1"/>
      </w:tblPr>
      <w:tblGrid>
        <w:gridCol w:w="3555"/>
        <w:gridCol w:w="745"/>
        <w:gridCol w:w="635"/>
        <w:gridCol w:w="745"/>
      </w:tblGrid>
      <w:tr w:rsidR="006828EA" w:rsidRPr="006828EA" w14:paraId="5A8A1A93" w14:textId="77777777" w:rsidTr="006828EA">
        <w:trPr>
          <w:trHeight w:val="300"/>
          <w:jc w:val="center"/>
        </w:trPr>
        <w:tc>
          <w:tcPr>
            <w:tcW w:w="3700" w:type="dxa"/>
            <w:tcBorders>
              <w:top w:val="single" w:sz="4" w:space="0" w:color="auto"/>
              <w:left w:val="single" w:sz="4" w:space="0" w:color="auto"/>
              <w:bottom w:val="single" w:sz="4" w:space="0" w:color="auto"/>
              <w:right w:val="single" w:sz="4" w:space="0" w:color="auto"/>
            </w:tcBorders>
            <w:vAlign w:val="center"/>
            <w:hideMark/>
          </w:tcPr>
          <w:p w14:paraId="3FDE79B3" w14:textId="77777777" w:rsidR="006828EA" w:rsidRPr="006828EA" w:rsidRDefault="006828EA" w:rsidP="006828EA">
            <w:pPr>
              <w:spacing w:after="0" w:line="240" w:lineRule="auto"/>
              <w:jc w:val="center"/>
              <w:rPr>
                <w:rFonts w:ascii="Times New Roman" w:eastAsia="Times New Roman" w:hAnsi="Times New Roman" w:cs="Times New Roman"/>
                <w:b/>
                <w:bCs/>
                <w:color w:val="000000"/>
                <w:kern w:val="0"/>
                <w:lang w:eastAsia="es-AR"/>
                <w14:ligatures w14:val="none"/>
              </w:rPr>
            </w:pPr>
            <w:r w:rsidRPr="006828EA">
              <w:rPr>
                <w:rFonts w:ascii="Times New Roman" w:eastAsia="Times New Roman" w:hAnsi="Times New Roman" w:cs="Times New Roman"/>
                <w:b/>
                <w:bCs/>
                <w:color w:val="000000"/>
                <w:kern w:val="0"/>
                <w:lang w:eastAsia="es-AR"/>
                <w14:ligatures w14:val="none"/>
              </w:rPr>
              <w:t>Concepto</w:t>
            </w:r>
          </w:p>
        </w:tc>
        <w:tc>
          <w:tcPr>
            <w:tcW w:w="700" w:type="dxa"/>
            <w:tcBorders>
              <w:top w:val="single" w:sz="4" w:space="0" w:color="auto"/>
              <w:left w:val="nil"/>
              <w:bottom w:val="single" w:sz="4" w:space="0" w:color="auto"/>
              <w:right w:val="single" w:sz="4" w:space="0" w:color="auto"/>
            </w:tcBorders>
            <w:vAlign w:val="center"/>
            <w:hideMark/>
          </w:tcPr>
          <w:p w14:paraId="54EF9820" w14:textId="77777777" w:rsidR="006828EA" w:rsidRPr="006828EA" w:rsidRDefault="006828EA" w:rsidP="006828EA">
            <w:pPr>
              <w:spacing w:after="0" w:line="240" w:lineRule="auto"/>
              <w:jc w:val="center"/>
              <w:rPr>
                <w:rFonts w:ascii="Times New Roman" w:eastAsia="Times New Roman" w:hAnsi="Times New Roman" w:cs="Times New Roman"/>
                <w:b/>
                <w:bCs/>
                <w:color w:val="000000"/>
                <w:kern w:val="0"/>
                <w:lang w:eastAsia="es-AR"/>
                <w14:ligatures w14:val="none"/>
              </w:rPr>
            </w:pPr>
            <w:r w:rsidRPr="006828EA">
              <w:rPr>
                <w:rFonts w:ascii="Times New Roman" w:eastAsia="Times New Roman" w:hAnsi="Times New Roman" w:cs="Times New Roman"/>
                <w:b/>
                <w:bCs/>
                <w:color w:val="000000"/>
                <w:kern w:val="0"/>
                <w:lang w:eastAsia="es-AR"/>
                <w14:ligatures w14:val="none"/>
              </w:rPr>
              <w:t>2005</w:t>
            </w:r>
          </w:p>
        </w:tc>
        <w:tc>
          <w:tcPr>
            <w:tcW w:w="580" w:type="dxa"/>
            <w:tcBorders>
              <w:top w:val="single" w:sz="4" w:space="0" w:color="auto"/>
              <w:left w:val="nil"/>
              <w:bottom w:val="single" w:sz="4" w:space="0" w:color="auto"/>
              <w:right w:val="single" w:sz="4" w:space="0" w:color="auto"/>
            </w:tcBorders>
            <w:vAlign w:val="center"/>
            <w:hideMark/>
          </w:tcPr>
          <w:p w14:paraId="06ABE423" w14:textId="77777777" w:rsidR="006828EA" w:rsidRPr="006828EA" w:rsidRDefault="006828EA" w:rsidP="006828EA">
            <w:pPr>
              <w:spacing w:after="0" w:line="240" w:lineRule="auto"/>
              <w:jc w:val="center"/>
              <w:rPr>
                <w:rFonts w:ascii="Times New Roman" w:eastAsia="Times New Roman" w:hAnsi="Times New Roman" w:cs="Times New Roman"/>
                <w:b/>
                <w:bCs/>
                <w:color w:val="000000"/>
                <w:kern w:val="0"/>
                <w:lang w:eastAsia="es-AR"/>
                <w14:ligatures w14:val="none"/>
              </w:rPr>
            </w:pPr>
            <w:r w:rsidRPr="006828EA">
              <w:rPr>
                <w:rFonts w:ascii="Times New Roman" w:eastAsia="Times New Roman" w:hAnsi="Times New Roman" w:cs="Times New Roman"/>
                <w:b/>
                <w:bCs/>
                <w:color w:val="000000"/>
                <w:kern w:val="0"/>
                <w:lang w:eastAsia="es-AR"/>
                <w14:ligatures w14:val="none"/>
              </w:rPr>
              <w:t>2025</w:t>
            </w:r>
          </w:p>
        </w:tc>
        <w:tc>
          <w:tcPr>
            <w:tcW w:w="700" w:type="dxa"/>
            <w:tcBorders>
              <w:top w:val="single" w:sz="4" w:space="0" w:color="auto"/>
              <w:left w:val="nil"/>
              <w:bottom w:val="single" w:sz="4" w:space="0" w:color="auto"/>
              <w:right w:val="single" w:sz="4" w:space="0" w:color="auto"/>
            </w:tcBorders>
            <w:vAlign w:val="center"/>
            <w:hideMark/>
          </w:tcPr>
          <w:p w14:paraId="0B5BC465" w14:textId="77777777" w:rsidR="006828EA" w:rsidRPr="006828EA" w:rsidRDefault="006828EA" w:rsidP="006828EA">
            <w:pPr>
              <w:spacing w:after="0" w:line="240" w:lineRule="auto"/>
              <w:jc w:val="center"/>
              <w:rPr>
                <w:rFonts w:ascii="Times New Roman" w:eastAsia="Times New Roman" w:hAnsi="Times New Roman" w:cs="Times New Roman"/>
                <w:b/>
                <w:bCs/>
                <w:color w:val="000000"/>
                <w:kern w:val="0"/>
                <w:lang w:eastAsia="es-AR"/>
                <w14:ligatures w14:val="none"/>
              </w:rPr>
            </w:pPr>
            <w:r w:rsidRPr="006828EA">
              <w:rPr>
                <w:rFonts w:ascii="Times New Roman" w:eastAsia="Times New Roman" w:hAnsi="Times New Roman" w:cs="Times New Roman"/>
                <w:b/>
                <w:bCs/>
                <w:color w:val="000000"/>
                <w:kern w:val="0"/>
                <w:lang w:eastAsia="es-AR"/>
                <w14:ligatures w14:val="none"/>
              </w:rPr>
              <w:t>Total</w:t>
            </w:r>
          </w:p>
        </w:tc>
      </w:tr>
      <w:tr w:rsidR="006828EA" w:rsidRPr="006828EA" w14:paraId="52542F53" w14:textId="77777777" w:rsidTr="006828EA">
        <w:trPr>
          <w:trHeight w:val="300"/>
          <w:jc w:val="center"/>
        </w:trPr>
        <w:tc>
          <w:tcPr>
            <w:tcW w:w="3700" w:type="dxa"/>
            <w:tcBorders>
              <w:top w:val="nil"/>
              <w:left w:val="single" w:sz="4" w:space="0" w:color="auto"/>
              <w:bottom w:val="single" w:sz="4" w:space="0" w:color="auto"/>
              <w:right w:val="single" w:sz="4" w:space="0" w:color="auto"/>
            </w:tcBorders>
            <w:vAlign w:val="center"/>
            <w:hideMark/>
          </w:tcPr>
          <w:p w14:paraId="7F2A68F8" w14:textId="77777777" w:rsidR="006828EA" w:rsidRPr="006828EA" w:rsidRDefault="006828EA" w:rsidP="006828EA">
            <w:pPr>
              <w:spacing w:after="0" w:line="240" w:lineRule="auto"/>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Cantidad observaciones</w:t>
            </w:r>
          </w:p>
        </w:tc>
        <w:tc>
          <w:tcPr>
            <w:tcW w:w="700" w:type="dxa"/>
            <w:tcBorders>
              <w:top w:val="nil"/>
              <w:left w:val="nil"/>
              <w:bottom w:val="single" w:sz="4" w:space="0" w:color="auto"/>
              <w:right w:val="single" w:sz="4" w:space="0" w:color="auto"/>
            </w:tcBorders>
            <w:vAlign w:val="center"/>
            <w:hideMark/>
          </w:tcPr>
          <w:p w14:paraId="1909DDB2"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14.481</w:t>
            </w:r>
          </w:p>
        </w:tc>
        <w:tc>
          <w:tcPr>
            <w:tcW w:w="580" w:type="dxa"/>
            <w:tcBorders>
              <w:top w:val="nil"/>
              <w:left w:val="nil"/>
              <w:bottom w:val="single" w:sz="4" w:space="0" w:color="auto"/>
              <w:right w:val="single" w:sz="4" w:space="0" w:color="auto"/>
            </w:tcBorders>
            <w:vAlign w:val="center"/>
            <w:hideMark/>
          </w:tcPr>
          <w:p w14:paraId="2A8AA2D9"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9.340</w:t>
            </w:r>
          </w:p>
        </w:tc>
        <w:tc>
          <w:tcPr>
            <w:tcW w:w="700" w:type="dxa"/>
            <w:tcBorders>
              <w:top w:val="nil"/>
              <w:left w:val="nil"/>
              <w:bottom w:val="single" w:sz="4" w:space="0" w:color="auto"/>
              <w:right w:val="single" w:sz="4" w:space="0" w:color="auto"/>
            </w:tcBorders>
            <w:vAlign w:val="center"/>
            <w:hideMark/>
          </w:tcPr>
          <w:p w14:paraId="2396269E"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23.821</w:t>
            </w:r>
          </w:p>
        </w:tc>
      </w:tr>
      <w:tr w:rsidR="006828EA" w:rsidRPr="006828EA" w14:paraId="59CFE41D" w14:textId="77777777" w:rsidTr="006828EA">
        <w:trPr>
          <w:trHeight w:val="900"/>
          <w:jc w:val="center"/>
        </w:trPr>
        <w:tc>
          <w:tcPr>
            <w:tcW w:w="3700" w:type="dxa"/>
            <w:tcBorders>
              <w:top w:val="nil"/>
              <w:left w:val="single" w:sz="4" w:space="0" w:color="auto"/>
              <w:bottom w:val="single" w:sz="4" w:space="0" w:color="auto"/>
              <w:right w:val="single" w:sz="4" w:space="0" w:color="auto"/>
            </w:tcBorders>
            <w:vAlign w:val="center"/>
            <w:hideMark/>
          </w:tcPr>
          <w:p w14:paraId="02A85846" w14:textId="77777777" w:rsidR="006828EA" w:rsidRPr="006828EA" w:rsidRDefault="006828EA" w:rsidP="006828EA">
            <w:pPr>
              <w:spacing w:after="0" w:line="240" w:lineRule="auto"/>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Cantidad de observaciones con NAs en la variable "pobre"</w:t>
            </w:r>
          </w:p>
        </w:tc>
        <w:tc>
          <w:tcPr>
            <w:tcW w:w="700" w:type="dxa"/>
            <w:tcBorders>
              <w:top w:val="nil"/>
              <w:left w:val="nil"/>
              <w:bottom w:val="single" w:sz="4" w:space="0" w:color="auto"/>
              <w:right w:val="single" w:sz="4" w:space="0" w:color="auto"/>
            </w:tcBorders>
            <w:vAlign w:val="center"/>
            <w:hideMark/>
          </w:tcPr>
          <w:p w14:paraId="0F4F3619"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0</w:t>
            </w:r>
          </w:p>
        </w:tc>
        <w:tc>
          <w:tcPr>
            <w:tcW w:w="580" w:type="dxa"/>
            <w:tcBorders>
              <w:top w:val="nil"/>
              <w:left w:val="nil"/>
              <w:bottom w:val="single" w:sz="4" w:space="0" w:color="auto"/>
              <w:right w:val="single" w:sz="4" w:space="0" w:color="auto"/>
            </w:tcBorders>
            <w:vAlign w:val="center"/>
            <w:hideMark/>
          </w:tcPr>
          <w:p w14:paraId="6CDB0731"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0</w:t>
            </w:r>
          </w:p>
        </w:tc>
        <w:tc>
          <w:tcPr>
            <w:tcW w:w="700" w:type="dxa"/>
            <w:tcBorders>
              <w:top w:val="nil"/>
              <w:left w:val="nil"/>
              <w:bottom w:val="single" w:sz="4" w:space="0" w:color="auto"/>
              <w:right w:val="single" w:sz="4" w:space="0" w:color="auto"/>
            </w:tcBorders>
            <w:vAlign w:val="center"/>
            <w:hideMark/>
          </w:tcPr>
          <w:p w14:paraId="29AFD6CB"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0</w:t>
            </w:r>
          </w:p>
        </w:tc>
      </w:tr>
      <w:tr w:rsidR="006828EA" w:rsidRPr="006828EA" w14:paraId="03BFAA2C" w14:textId="77777777" w:rsidTr="006828EA">
        <w:trPr>
          <w:trHeight w:val="300"/>
          <w:jc w:val="center"/>
        </w:trPr>
        <w:tc>
          <w:tcPr>
            <w:tcW w:w="3700" w:type="dxa"/>
            <w:tcBorders>
              <w:top w:val="nil"/>
              <w:left w:val="single" w:sz="4" w:space="0" w:color="auto"/>
              <w:bottom w:val="single" w:sz="4" w:space="0" w:color="auto"/>
              <w:right w:val="single" w:sz="4" w:space="0" w:color="auto"/>
            </w:tcBorders>
            <w:vAlign w:val="center"/>
            <w:hideMark/>
          </w:tcPr>
          <w:p w14:paraId="176F197C" w14:textId="77777777" w:rsidR="006828EA" w:rsidRPr="006828EA" w:rsidRDefault="006828EA" w:rsidP="006828EA">
            <w:pPr>
              <w:spacing w:after="0" w:line="240" w:lineRule="auto"/>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Cantidad de Pobres</w:t>
            </w:r>
          </w:p>
        </w:tc>
        <w:tc>
          <w:tcPr>
            <w:tcW w:w="700" w:type="dxa"/>
            <w:tcBorders>
              <w:top w:val="nil"/>
              <w:left w:val="nil"/>
              <w:bottom w:val="single" w:sz="4" w:space="0" w:color="auto"/>
              <w:right w:val="single" w:sz="4" w:space="0" w:color="auto"/>
            </w:tcBorders>
            <w:vAlign w:val="center"/>
            <w:hideMark/>
          </w:tcPr>
          <w:p w14:paraId="1C316192"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1.780</w:t>
            </w:r>
          </w:p>
        </w:tc>
        <w:tc>
          <w:tcPr>
            <w:tcW w:w="580" w:type="dxa"/>
            <w:tcBorders>
              <w:top w:val="nil"/>
              <w:left w:val="nil"/>
              <w:bottom w:val="single" w:sz="4" w:space="0" w:color="auto"/>
              <w:right w:val="single" w:sz="4" w:space="0" w:color="auto"/>
            </w:tcBorders>
            <w:vAlign w:val="center"/>
            <w:hideMark/>
          </w:tcPr>
          <w:p w14:paraId="2D78E85F"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1.120</w:t>
            </w:r>
          </w:p>
        </w:tc>
        <w:tc>
          <w:tcPr>
            <w:tcW w:w="700" w:type="dxa"/>
            <w:tcBorders>
              <w:top w:val="nil"/>
              <w:left w:val="nil"/>
              <w:bottom w:val="single" w:sz="4" w:space="0" w:color="auto"/>
              <w:right w:val="single" w:sz="4" w:space="0" w:color="auto"/>
            </w:tcBorders>
            <w:vAlign w:val="center"/>
            <w:hideMark/>
          </w:tcPr>
          <w:p w14:paraId="12773F2F"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2.900</w:t>
            </w:r>
          </w:p>
        </w:tc>
      </w:tr>
      <w:tr w:rsidR="006828EA" w:rsidRPr="006828EA" w14:paraId="312E1EC8" w14:textId="77777777" w:rsidTr="006828EA">
        <w:trPr>
          <w:trHeight w:val="300"/>
          <w:jc w:val="center"/>
        </w:trPr>
        <w:tc>
          <w:tcPr>
            <w:tcW w:w="3700" w:type="dxa"/>
            <w:tcBorders>
              <w:top w:val="nil"/>
              <w:left w:val="single" w:sz="4" w:space="0" w:color="auto"/>
              <w:bottom w:val="single" w:sz="4" w:space="0" w:color="auto"/>
              <w:right w:val="single" w:sz="4" w:space="0" w:color="auto"/>
            </w:tcBorders>
            <w:vAlign w:val="center"/>
            <w:hideMark/>
          </w:tcPr>
          <w:p w14:paraId="6AF00105" w14:textId="77777777" w:rsidR="006828EA" w:rsidRPr="006828EA" w:rsidRDefault="006828EA" w:rsidP="006828EA">
            <w:pPr>
              <w:spacing w:after="0" w:line="240" w:lineRule="auto"/>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Cantidad de No Pobres</w:t>
            </w:r>
          </w:p>
        </w:tc>
        <w:tc>
          <w:tcPr>
            <w:tcW w:w="700" w:type="dxa"/>
            <w:tcBorders>
              <w:top w:val="nil"/>
              <w:left w:val="nil"/>
              <w:bottom w:val="single" w:sz="4" w:space="0" w:color="auto"/>
              <w:right w:val="single" w:sz="4" w:space="0" w:color="auto"/>
            </w:tcBorders>
            <w:vAlign w:val="center"/>
            <w:hideMark/>
          </w:tcPr>
          <w:p w14:paraId="14640F03"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12.701</w:t>
            </w:r>
          </w:p>
        </w:tc>
        <w:tc>
          <w:tcPr>
            <w:tcW w:w="580" w:type="dxa"/>
            <w:tcBorders>
              <w:top w:val="nil"/>
              <w:left w:val="nil"/>
              <w:bottom w:val="single" w:sz="4" w:space="0" w:color="auto"/>
              <w:right w:val="single" w:sz="4" w:space="0" w:color="auto"/>
            </w:tcBorders>
            <w:vAlign w:val="center"/>
            <w:hideMark/>
          </w:tcPr>
          <w:p w14:paraId="5DA092AC"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8.220</w:t>
            </w:r>
          </w:p>
        </w:tc>
        <w:tc>
          <w:tcPr>
            <w:tcW w:w="700" w:type="dxa"/>
            <w:tcBorders>
              <w:top w:val="nil"/>
              <w:left w:val="nil"/>
              <w:bottom w:val="single" w:sz="4" w:space="0" w:color="auto"/>
              <w:right w:val="single" w:sz="4" w:space="0" w:color="auto"/>
            </w:tcBorders>
            <w:vAlign w:val="center"/>
            <w:hideMark/>
          </w:tcPr>
          <w:p w14:paraId="7427AD3E"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20.921</w:t>
            </w:r>
          </w:p>
        </w:tc>
      </w:tr>
      <w:tr w:rsidR="006828EA" w:rsidRPr="006828EA" w14:paraId="25FF37BF" w14:textId="77777777" w:rsidTr="006828EA">
        <w:trPr>
          <w:trHeight w:val="900"/>
          <w:jc w:val="center"/>
        </w:trPr>
        <w:tc>
          <w:tcPr>
            <w:tcW w:w="3700" w:type="dxa"/>
            <w:tcBorders>
              <w:top w:val="nil"/>
              <w:left w:val="single" w:sz="4" w:space="0" w:color="auto"/>
              <w:bottom w:val="single" w:sz="4" w:space="0" w:color="auto"/>
              <w:right w:val="single" w:sz="4" w:space="0" w:color="auto"/>
            </w:tcBorders>
            <w:vAlign w:val="center"/>
            <w:hideMark/>
          </w:tcPr>
          <w:p w14:paraId="515FB0DA" w14:textId="77777777" w:rsidR="006828EA" w:rsidRPr="006828EA" w:rsidRDefault="006828EA" w:rsidP="006828EA">
            <w:pPr>
              <w:spacing w:after="0" w:line="240" w:lineRule="auto"/>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Cantidad de variables limpias y homogeneizadas</w:t>
            </w:r>
          </w:p>
        </w:tc>
        <w:tc>
          <w:tcPr>
            <w:tcW w:w="700" w:type="dxa"/>
            <w:tcBorders>
              <w:top w:val="nil"/>
              <w:left w:val="nil"/>
              <w:bottom w:val="single" w:sz="4" w:space="0" w:color="auto"/>
              <w:right w:val="single" w:sz="4" w:space="0" w:color="auto"/>
            </w:tcBorders>
            <w:vAlign w:val="center"/>
            <w:hideMark/>
          </w:tcPr>
          <w:p w14:paraId="5F107F00"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261</w:t>
            </w:r>
          </w:p>
        </w:tc>
        <w:tc>
          <w:tcPr>
            <w:tcW w:w="580" w:type="dxa"/>
            <w:tcBorders>
              <w:top w:val="nil"/>
              <w:left w:val="nil"/>
              <w:bottom w:val="single" w:sz="4" w:space="0" w:color="auto"/>
              <w:right w:val="single" w:sz="4" w:space="0" w:color="auto"/>
            </w:tcBorders>
            <w:vAlign w:val="center"/>
            <w:hideMark/>
          </w:tcPr>
          <w:p w14:paraId="16E4FABE"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261</w:t>
            </w:r>
          </w:p>
        </w:tc>
        <w:tc>
          <w:tcPr>
            <w:tcW w:w="700" w:type="dxa"/>
            <w:tcBorders>
              <w:top w:val="nil"/>
              <w:left w:val="nil"/>
              <w:bottom w:val="single" w:sz="4" w:space="0" w:color="auto"/>
              <w:right w:val="single" w:sz="4" w:space="0" w:color="auto"/>
            </w:tcBorders>
            <w:vAlign w:val="center"/>
            <w:hideMark/>
          </w:tcPr>
          <w:p w14:paraId="69741965" w14:textId="77777777" w:rsidR="006828EA" w:rsidRPr="006828EA" w:rsidRDefault="006828EA" w:rsidP="006828EA">
            <w:pPr>
              <w:spacing w:after="0" w:line="240" w:lineRule="auto"/>
              <w:jc w:val="right"/>
              <w:rPr>
                <w:rFonts w:ascii="Times New Roman" w:eastAsia="Times New Roman" w:hAnsi="Times New Roman" w:cs="Times New Roman"/>
                <w:color w:val="000000"/>
                <w:kern w:val="0"/>
                <w:lang w:eastAsia="es-AR"/>
                <w14:ligatures w14:val="none"/>
              </w:rPr>
            </w:pPr>
            <w:r w:rsidRPr="006828EA">
              <w:rPr>
                <w:rFonts w:ascii="Times New Roman" w:eastAsia="Times New Roman" w:hAnsi="Times New Roman" w:cs="Times New Roman"/>
                <w:color w:val="000000"/>
                <w:kern w:val="0"/>
                <w:lang w:eastAsia="es-AR"/>
                <w14:ligatures w14:val="none"/>
              </w:rPr>
              <w:t>261</w:t>
            </w:r>
          </w:p>
        </w:tc>
      </w:tr>
    </w:tbl>
    <w:p w14:paraId="503F7311" w14:textId="77777777" w:rsidR="00634214" w:rsidRDefault="00634214" w:rsidP="009C1038">
      <w:pPr>
        <w:rPr>
          <w:rFonts w:ascii="Century Schoolbook" w:eastAsia="Century Schoolbook" w:hAnsi="Century Schoolbook" w:cs="Century Schoolbook"/>
          <w:color w:val="002060"/>
          <w:lang w:val="es-US"/>
        </w:rPr>
      </w:pPr>
    </w:p>
    <w:p w14:paraId="6EC14FB7" w14:textId="77777777" w:rsidR="00BA330C" w:rsidRDefault="00BA330C" w:rsidP="002C6198">
      <w:pPr>
        <w:rPr>
          <w:rFonts w:ascii="Century Schoolbook" w:eastAsia="Century Schoolbook" w:hAnsi="Century Schoolbook" w:cs="Century Schoolbook"/>
          <w:color w:val="002060"/>
          <w:lang w:val="es-US"/>
        </w:rPr>
      </w:pPr>
    </w:p>
    <w:p w14:paraId="159F5DD8" w14:textId="77777777" w:rsidR="00BA330C" w:rsidRDefault="00BA330C" w:rsidP="002C6198">
      <w:pPr>
        <w:rPr>
          <w:rFonts w:ascii="Century Schoolbook" w:eastAsia="Century Schoolbook" w:hAnsi="Century Schoolbook" w:cs="Century Schoolbook"/>
          <w:color w:val="002060"/>
          <w:lang w:val="es-US"/>
        </w:rPr>
      </w:pPr>
    </w:p>
    <w:p w14:paraId="00219CEE" w14:textId="091C16B2" w:rsidR="002C6198" w:rsidRPr="002C6198" w:rsidRDefault="002C6198" w:rsidP="002C6198">
      <w:pPr>
        <w:rPr>
          <w:rFonts w:ascii="Century Schoolbook" w:eastAsia="Century Schoolbook" w:hAnsi="Century Schoolbook" w:cs="Century Schoolbook"/>
          <w:color w:val="002060"/>
          <w:lang w:val="es-US"/>
        </w:rPr>
      </w:pPr>
      <w:r w:rsidRPr="002C6198">
        <w:rPr>
          <w:rFonts w:ascii="Century Schoolbook" w:eastAsia="Century Schoolbook" w:hAnsi="Century Schoolbook" w:cs="Century Schoolbook"/>
          <w:color w:val="002060"/>
          <w:lang w:val="es-US"/>
        </w:rPr>
        <w:t>Parte II: Métodos No Supervisados</w:t>
      </w:r>
    </w:p>
    <w:p w14:paraId="0BB538CC" w14:textId="11865F74" w:rsidR="002C6198"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1.</w:t>
      </w:r>
    </w:p>
    <w:p w14:paraId="44A2ADC2" w14:textId="4449F507"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2.</w:t>
      </w:r>
    </w:p>
    <w:p w14:paraId="00703D16" w14:textId="095E64D9"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3.</w:t>
      </w:r>
    </w:p>
    <w:p w14:paraId="55C11BA6" w14:textId="1DCD4CA6"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4.</w:t>
      </w:r>
    </w:p>
    <w:p w14:paraId="1A9A1680" w14:textId="44403F22"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5.</w:t>
      </w:r>
    </w:p>
    <w:p w14:paraId="214B6109" w14:textId="2FB26C3B"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6.</w:t>
      </w:r>
    </w:p>
    <w:p w14:paraId="6A0EB3BD" w14:textId="46145BB8" w:rsidR="00634214" w:rsidRDefault="00634214" w:rsidP="009C1038">
      <w:p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7.</w:t>
      </w:r>
    </w:p>
    <w:p w14:paraId="6A6D813A" w14:textId="77777777" w:rsidR="00634214" w:rsidRDefault="00634214" w:rsidP="009C1038">
      <w:pPr>
        <w:rPr>
          <w:rFonts w:ascii="Century Schoolbook" w:eastAsia="Century Schoolbook" w:hAnsi="Century Schoolbook" w:cs="Century Schoolbook"/>
          <w:color w:val="002060"/>
          <w:lang w:val="es-US"/>
        </w:rPr>
      </w:pPr>
    </w:p>
    <w:sectPr w:rsidR="006342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5069A"/>
    <w:multiLevelType w:val="hybridMultilevel"/>
    <w:tmpl w:val="0644E0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BA9231A"/>
    <w:multiLevelType w:val="hybridMultilevel"/>
    <w:tmpl w:val="92BEEF8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12"/>
    <w:rsid w:val="00025727"/>
    <w:rsid w:val="00040805"/>
    <w:rsid w:val="00091954"/>
    <w:rsid w:val="00092352"/>
    <w:rsid w:val="000F3651"/>
    <w:rsid w:val="000F73DD"/>
    <w:rsid w:val="00141C64"/>
    <w:rsid w:val="001420F9"/>
    <w:rsid w:val="001F7EF0"/>
    <w:rsid w:val="00211571"/>
    <w:rsid w:val="002C6198"/>
    <w:rsid w:val="003E6906"/>
    <w:rsid w:val="00444DB7"/>
    <w:rsid w:val="00445B35"/>
    <w:rsid w:val="004618A8"/>
    <w:rsid w:val="00480A3C"/>
    <w:rsid w:val="004C5874"/>
    <w:rsid w:val="0051555D"/>
    <w:rsid w:val="00530583"/>
    <w:rsid w:val="005C1D8A"/>
    <w:rsid w:val="005E43DD"/>
    <w:rsid w:val="00634214"/>
    <w:rsid w:val="0066014D"/>
    <w:rsid w:val="006828EA"/>
    <w:rsid w:val="00795377"/>
    <w:rsid w:val="007D6D30"/>
    <w:rsid w:val="00867292"/>
    <w:rsid w:val="00937386"/>
    <w:rsid w:val="00977CBC"/>
    <w:rsid w:val="009C1038"/>
    <w:rsid w:val="00A61865"/>
    <w:rsid w:val="00A81D91"/>
    <w:rsid w:val="00AC1929"/>
    <w:rsid w:val="00AF22A2"/>
    <w:rsid w:val="00AF5866"/>
    <w:rsid w:val="00B03183"/>
    <w:rsid w:val="00BA330C"/>
    <w:rsid w:val="00C17656"/>
    <w:rsid w:val="00C41F61"/>
    <w:rsid w:val="00C52837"/>
    <w:rsid w:val="00CB57F5"/>
    <w:rsid w:val="00CE43D4"/>
    <w:rsid w:val="00D262C6"/>
    <w:rsid w:val="00D637B8"/>
    <w:rsid w:val="00DF4DBA"/>
    <w:rsid w:val="00E047E7"/>
    <w:rsid w:val="00E062EE"/>
    <w:rsid w:val="00E13912"/>
    <w:rsid w:val="00E3737B"/>
    <w:rsid w:val="00ED1084"/>
    <w:rsid w:val="00EE52A1"/>
    <w:rsid w:val="00FE60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A505"/>
  <w15:chartTrackingRefBased/>
  <w15:docId w15:val="{6D75C499-11EF-49C3-B018-8CBC46AB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39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39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39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39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9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9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9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9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39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39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39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39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39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9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9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912"/>
    <w:rPr>
      <w:rFonts w:eastAsiaTheme="majorEastAsia" w:cstheme="majorBidi"/>
      <w:color w:val="272727" w:themeColor="text1" w:themeTint="D8"/>
    </w:rPr>
  </w:style>
  <w:style w:type="paragraph" w:styleId="Ttulo">
    <w:name w:val="Title"/>
    <w:basedOn w:val="Normal"/>
    <w:next w:val="Normal"/>
    <w:link w:val="TtuloCar"/>
    <w:uiPriority w:val="10"/>
    <w:qFormat/>
    <w:rsid w:val="00E1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9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9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9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912"/>
    <w:pPr>
      <w:spacing w:before="160"/>
      <w:jc w:val="center"/>
    </w:pPr>
    <w:rPr>
      <w:i/>
      <w:iCs/>
      <w:color w:val="404040" w:themeColor="text1" w:themeTint="BF"/>
    </w:rPr>
  </w:style>
  <w:style w:type="character" w:customStyle="1" w:styleId="CitaCar">
    <w:name w:val="Cita Car"/>
    <w:basedOn w:val="Fuentedeprrafopredeter"/>
    <w:link w:val="Cita"/>
    <w:uiPriority w:val="29"/>
    <w:rsid w:val="00E13912"/>
    <w:rPr>
      <w:i/>
      <w:iCs/>
      <w:color w:val="404040" w:themeColor="text1" w:themeTint="BF"/>
    </w:rPr>
  </w:style>
  <w:style w:type="paragraph" w:styleId="Prrafodelista">
    <w:name w:val="List Paragraph"/>
    <w:basedOn w:val="Normal"/>
    <w:uiPriority w:val="34"/>
    <w:qFormat/>
    <w:rsid w:val="00E13912"/>
    <w:pPr>
      <w:ind w:left="720"/>
      <w:contextualSpacing/>
    </w:pPr>
  </w:style>
  <w:style w:type="character" w:styleId="nfasisintenso">
    <w:name w:val="Intense Emphasis"/>
    <w:basedOn w:val="Fuentedeprrafopredeter"/>
    <w:uiPriority w:val="21"/>
    <w:qFormat/>
    <w:rsid w:val="00E13912"/>
    <w:rPr>
      <w:i/>
      <w:iCs/>
      <w:color w:val="0F4761" w:themeColor="accent1" w:themeShade="BF"/>
    </w:rPr>
  </w:style>
  <w:style w:type="paragraph" w:styleId="Citadestacada">
    <w:name w:val="Intense Quote"/>
    <w:basedOn w:val="Normal"/>
    <w:next w:val="Normal"/>
    <w:link w:val="CitadestacadaCar"/>
    <w:uiPriority w:val="30"/>
    <w:qFormat/>
    <w:rsid w:val="00E1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3912"/>
    <w:rPr>
      <w:i/>
      <w:iCs/>
      <w:color w:val="0F4761" w:themeColor="accent1" w:themeShade="BF"/>
    </w:rPr>
  </w:style>
  <w:style w:type="character" w:styleId="Referenciaintensa">
    <w:name w:val="Intense Reference"/>
    <w:basedOn w:val="Fuentedeprrafopredeter"/>
    <w:uiPriority w:val="32"/>
    <w:qFormat/>
    <w:rsid w:val="00E13912"/>
    <w:rPr>
      <w:b/>
      <w:bCs/>
      <w:smallCaps/>
      <w:color w:val="0F4761" w:themeColor="accent1" w:themeShade="BF"/>
      <w:spacing w:val="5"/>
    </w:rPr>
  </w:style>
  <w:style w:type="paragraph" w:styleId="NormalWeb">
    <w:name w:val="Normal (Web)"/>
    <w:basedOn w:val="Normal"/>
    <w:uiPriority w:val="99"/>
    <w:unhideWhenUsed/>
    <w:rsid w:val="00141C64"/>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6601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4</Pages>
  <Words>741</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Gabriel Pardini</dc:creator>
  <cp:keywords/>
  <dc:description/>
  <cp:lastModifiedBy>Isa Escobar</cp:lastModifiedBy>
  <cp:revision>15</cp:revision>
  <dcterms:created xsi:type="dcterms:W3CDTF">2025-10-11T06:11:00Z</dcterms:created>
  <dcterms:modified xsi:type="dcterms:W3CDTF">2025-10-20T01:43:00Z</dcterms:modified>
</cp:coreProperties>
</file>