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Especificación Estructura de Datos Completa - Clasificación Gastos AEAT</w:t>
      </w:r>
    </w:p>
    <w:p>
      <w:pPr>
        <w:pStyle w:val="Heading2"/>
        <w:bidi w:val="0"/>
        <w:jc w:val="left"/>
        <w:rPr/>
      </w:pPr>
      <w:r>
        <w:rPr/>
        <w:t>Resumen Ejecutivo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Arial" w:hAnsi="Arial"/>
          <w:sz w:val="20"/>
          <w:szCs w:val="20"/>
        </w:rPr>
        <w:t xml:space="preserve">Este documento define la </w:t>
      </w:r>
      <w:r>
        <w:rPr>
          <w:rStyle w:val="StrongEmphasis"/>
          <w:rFonts w:ascii="Arial" w:hAnsi="Arial"/>
          <w:sz w:val="20"/>
          <w:szCs w:val="20"/>
        </w:rPr>
        <w:t>estructura de datos completa</w:t>
      </w:r>
      <w:r>
        <w:rPr>
          <w:rFonts w:ascii="Arial" w:hAnsi="Arial"/>
          <w:sz w:val="20"/>
          <w:szCs w:val="20"/>
        </w:rPr>
        <w:t xml:space="preserve"> recomendada para la clasificación automatizada de gastos según códigos AEAT (G01-G46). La estructura incluye todos los campos posibles para máxima precisión, compliance fiscal y trazabilidad completa.</w:t>
      </w:r>
    </w:p>
    <w:p>
      <w:pPr>
        <w:pStyle w:val="Heading2"/>
        <w:bidi w:val="0"/>
        <w:jc w:val="left"/>
        <w:rPr/>
      </w:pPr>
      <w:r>
        <w:rPr/>
        <w:t>Estructura Completa JSON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"identificacion":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"id_interno": "FACT-2024-001234",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"numero_factura": "F-2024-0156",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"serie": "A"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"conceptos":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"descripcion": "Servicios consultoría informática desarrollo ERP",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"cantidad": 40,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"precio_unitario": 37.5,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"importe_linea": 1500,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"tipo_iva": 21,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"codigo_producto": "SERV-INFO-001",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  </w:t>
      </w:r>
      <w:r>
        <w:rPr>
          <w:rStyle w:val="SourceText"/>
          <w:rFonts w:ascii="Arial" w:hAnsi="Arial"/>
          <w:sz w:val="20"/>
          <w:szCs w:val="20"/>
        </w:rPr>
        <w:t>"unidad_medida": "horas"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"receptor":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"nombre": "Empresa Ejemplo SL",</w:t>
      </w:r>
      <w:r>
        <w:rPr>
          <w:rStyle w:val="SourceText"/>
          <w:rFonts w:ascii="Arial" w:hAnsi="Arial"/>
          <w:sz w:val="20"/>
          <w:szCs w:val="20"/>
        </w:rPr>
        <w:t>hea</w:t>
      </w:r>
    </w:p>
    <w:p>
      <w:pPr>
        <w:pStyle w:val="PreformattedText"/>
        <w:bidi w:val="0"/>
        <w:spacing w:before="0" w:after="0"/>
        <w:jc w:val="left"/>
        <w:rPr>
          <w:rStyle w:val="SourceText"/>
          <w:rFonts w:ascii="Arial" w:hAnsi="Arial"/>
          <w:sz w:val="20"/>
          <w:szCs w:val="20"/>
        </w:rPr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"cif": "B12345678",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"direccion": "Calle Mayor 15, 28001 Madrid",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"actividad_cnae": "6201 - Programación informática",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"sector": "Tecnología",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"tipo_empresa": "SL"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"emisor":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"nombre": "TechConsult SL",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"cif": "A98765432",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"direccion": "Avenida Tecnología 25, 28002 Madrid",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"email": "facturacion@techconsult.es",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"actividad_cnae": "6202 - Consultoría informática",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"pais_residencia": "España"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"importes":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"base_imponible": 1500,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"iva_21": 315,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"iva_10": 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"iva_4": 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"iva_exento": 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"irpf": 225,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"recargo_equivalencia": 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"total_impuestos": 315,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"total_retenciones": 225,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"total_factura": 1815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"fechas":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"emision": "2024-10-15",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"prestacion_servicio": "2024-10-01",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"vencimiento": "2024-11-15",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"pago_efectivo": "2024-10-20",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"contabilizacion": "2024-10-15"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"contexto_empresarial":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"departamento": "IT",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"centro_coste": "CC-001",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"proyecto": "PROJ-ERP-2024",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"porcentaje_afectacion": 100,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"uso_empresarial": "Exclusivo",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"justificacion_gasto": "Implementación sistema ERP para mejorar procesos"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"pago":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"forma_pago": "Transferencia bancaria",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"cuenta_bancaria": "ES21 1234 5678 9012 3456 7890",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"fecha_pago": "2024-10-20",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"estado_pago": "Pagado",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"referencia_pago": "TRF-20241020-001"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"fiscal":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"regimen_iva": "General",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"exencion_aplicada": false,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"inversion_sujeto_pasivo": false,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"operacion_intracomunitaria": false,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"retencion_aplicada": true,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"tipo_retencion": 15,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"motivo_exencion": null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"relacion_comercial":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"tipo_relacion": "Tercero independiente",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"empresa_vinculada": false,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"operacion_vinculada": false,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"proveedor_habitual": true,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"primera_operacion": false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"documentacion":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"tipo_documento": "Factura",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"rectificativa": false,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"factura_original": null,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"documentos_adjuntos": ["contrato_servicios.pdf", "informe_horas.xlsx"],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"firma_electronica": true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"trazabilidad":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"fecha_creacion": "2024-10-15T10:30:00Z",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"fecha_ultima_modificacion": "2024-10-15T14:20:00Z",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"usuario_creacion": "user.admin",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"usuario_modificacion": "user.contable",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"version": 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eading2"/>
        <w:bidi w:val="0"/>
        <w:jc w:val="left"/>
        <w:rPr>
          <w:rFonts w:ascii="Arial" w:hAnsi="Arial"/>
          <w:sz w:val="20"/>
          <w:szCs w:val="20"/>
        </w:rPr>
      </w:pPr>
      <w:r>
        <w:rPr>
          <w:sz w:val="20"/>
          <w:szCs w:val="20"/>
        </w:rPr>
        <w:t>Especificación Detallada por Campo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1. CONCEPTOS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(Crítico - Obligatorio)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Núcleo de la clasificación</w:t>
      </w:r>
      <w:r>
        <w:rPr>
          <w:rFonts w:ascii="Arial" w:hAnsi="Arial"/>
          <w:sz w:val="20"/>
          <w:szCs w:val="20"/>
        </w:rPr>
        <w:t xml:space="preserve">: Sin esto es imposible determinar el código AEAT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Permite identificar la naturaleza del gasto (materias primas vs servicios vs personal)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Base para aplicar reglas de deducibilidad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"conceptos":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"descripcion": "string",      // OBLIGATORIO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"importe_linea": "number",    // OBLIGATORIO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"cantidad": "number",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"precio_unitario": "number",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"tipo_iva": "number",        // IMPORTANTE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"codigo_producto": "string",  // ÚTIL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  </w:t>
      </w:r>
      <w:r>
        <w:rPr>
          <w:rStyle w:val="SourceText"/>
          <w:rFonts w:ascii="Arial" w:hAnsi="Arial"/>
          <w:sz w:val="20"/>
          <w:szCs w:val="20"/>
        </w:rPr>
        <w:t>"unidad_medida": "string"    // ÚTIL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]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Validaciones: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descripcion</w:t>
      </w:r>
      <w:r>
        <w:rPr>
          <w:rFonts w:ascii="Arial" w:hAnsi="Arial"/>
          <w:sz w:val="20"/>
          <w:szCs w:val="20"/>
        </w:rPr>
        <w:t xml:space="preserve">: Min 10 caracteres, máx 500 caracteres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importe_linea</w:t>
      </w:r>
      <w:r>
        <w:rPr>
          <w:rFonts w:ascii="Arial" w:hAnsi="Arial"/>
          <w:sz w:val="20"/>
          <w:szCs w:val="20"/>
        </w:rPr>
        <w:t xml:space="preserve">: Número positivo, máximo 2 decimales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cantidad</w:t>
      </w:r>
      <w:r>
        <w:rPr>
          <w:rFonts w:ascii="Arial" w:hAnsi="Arial"/>
          <w:sz w:val="20"/>
          <w:szCs w:val="20"/>
        </w:rPr>
        <w:t xml:space="preserve">: Número positivo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precio_unitario</w:t>
      </w:r>
      <w:r>
        <w:rPr>
          <w:rFonts w:ascii="Arial" w:hAnsi="Arial"/>
          <w:sz w:val="20"/>
          <w:szCs w:val="20"/>
        </w:rPr>
        <w:t xml:space="preserve">: cantidad × precio_unitario = importe_linea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tipo_iva</w:t>
      </w:r>
      <w:r>
        <w:rPr>
          <w:rFonts w:ascii="Arial" w:hAnsi="Arial"/>
          <w:sz w:val="20"/>
          <w:szCs w:val="20"/>
        </w:rPr>
        <w:t xml:space="preserve">: 0, 4, 10, 21 (tipos válidos España)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Array debe contener al menos 1 elemento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Casos de Uso: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G01</w:t>
      </w:r>
      <w:r>
        <w:rPr>
          <w:rFonts w:ascii="Arial" w:hAnsi="Arial"/>
          <w:sz w:val="20"/>
          <w:szCs w:val="20"/>
        </w:rPr>
        <w:t xml:space="preserve">: "Compra material informático para reventa" + cantidad: 10 + precio_unitario: 150 → Identifica existencias con detalle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G04</w:t>
      </w:r>
      <w:r>
        <w:rPr>
          <w:rFonts w:ascii="Arial" w:hAnsi="Arial"/>
          <w:sz w:val="20"/>
          <w:szCs w:val="20"/>
        </w:rPr>
        <w:t xml:space="preserve">: "Nómina octubre empleado Juan Pérez" + tipo_iva: 0 → Identifica sueldos sin IVA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G19</w:t>
      </w:r>
      <w:r>
        <w:rPr>
          <w:rFonts w:ascii="Arial" w:hAnsi="Arial"/>
          <w:sz w:val="20"/>
          <w:szCs w:val="20"/>
        </w:rPr>
        <w:t xml:space="preserve">: "Servicios consultoría fiscal trimestre Q3" + tipo_iva: 21 + codigo_producto: "CONS-FISC" → Identifica servicios profesionales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Consideraciones Técnicas: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Múltiples conceptos permiten facturas con diferentes códigos AEAT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La descripción se procesa con NLP para extracción de conceptos clave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El importe, cantidad y precio unitario permiten validar coherencia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Tipo de IVA ayuda a inferir naturaleza del gasto (servicios vs bienes)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Códigos de producto facilitan clasificación automática recurrente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2. RECEPTOR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(Crítico - Obligatorio)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Contexto empresarial</w:t>
      </w:r>
      <w:r>
        <w:rPr>
          <w:rFonts w:ascii="Arial" w:hAnsi="Arial"/>
          <w:sz w:val="20"/>
          <w:szCs w:val="20"/>
        </w:rPr>
        <w:t xml:space="preserve">: El mismo gasto puede ser diferente código según la actividad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Validación de deducibilidad específica por sector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Detección de casos especiales (autónomos vs empresas)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"receptor":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"nombre": "string",  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"cif": "string",             // OBLIGATORIO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"direccion": "string",       // ÚTIL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"actividad_cnae": "string",  // OBLIGATORIO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"sector": "string", 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"tipo_empresa": "string"     // ÚTIL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Validaciones: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actividad_cnae</w:t>
      </w:r>
      <w:r>
        <w:rPr>
          <w:rFonts w:ascii="Arial" w:hAnsi="Arial"/>
          <w:sz w:val="20"/>
          <w:szCs w:val="20"/>
        </w:rPr>
        <w:t xml:space="preserve">: Formato "XXXX - Descripción" o solo código "XXXX"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cif</w:t>
      </w:r>
      <w:r>
        <w:rPr>
          <w:rFonts w:ascii="Arial" w:hAnsi="Arial"/>
          <w:sz w:val="20"/>
          <w:szCs w:val="20"/>
        </w:rPr>
        <w:t xml:space="preserve">: Formato español válido (letra + 8 dígitos + dígito control)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tipo_empresa</w:t>
      </w:r>
      <w:r>
        <w:rPr>
          <w:rFonts w:ascii="Arial" w:hAnsi="Arial"/>
          <w:sz w:val="20"/>
          <w:szCs w:val="20"/>
        </w:rPr>
        <w:t xml:space="preserve">: SL, SA, SLU, Autónomo, Cooperativa, etc.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Casos de Uso: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Combustible + Transportista (CNAE 4941)</w:t>
      </w:r>
      <w:r>
        <w:rPr>
          <w:rFonts w:ascii="Arial" w:hAnsi="Arial"/>
          <w:sz w:val="20"/>
          <w:szCs w:val="20"/>
        </w:rPr>
        <w:t xml:space="preserve"> → G03 (consumo explotación)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Combustible + Oficinista (CNAE 6201)</w:t>
      </w:r>
      <w:r>
        <w:rPr>
          <w:rFonts w:ascii="Arial" w:hAnsi="Arial"/>
          <w:sz w:val="20"/>
          <w:szCs w:val="20"/>
        </w:rPr>
        <w:t xml:space="preserve"> → Posible no deducible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Material oficina + Cualquier actividad</w:t>
      </w:r>
      <w:r>
        <w:rPr>
          <w:rFonts w:ascii="Arial" w:hAnsi="Arial"/>
          <w:sz w:val="20"/>
          <w:szCs w:val="20"/>
        </w:rPr>
        <w:t xml:space="preserve"> → G03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Herramientas + Carpintero (CNAE 4332)</w:t>
      </w:r>
      <w:r>
        <w:rPr>
          <w:rFonts w:ascii="Arial" w:hAnsi="Arial"/>
          <w:sz w:val="20"/>
          <w:szCs w:val="20"/>
        </w:rPr>
        <w:t xml:space="preserve"> → G03 vs </w:t>
      </w:r>
      <w:r>
        <w:rPr>
          <w:rStyle w:val="StrongEmphasis"/>
          <w:rFonts w:ascii="Arial" w:hAnsi="Arial"/>
          <w:sz w:val="20"/>
          <w:szCs w:val="20"/>
        </w:rPr>
        <w:t>Herramientas + Abogado (CNAE 6910)</w:t>
      </w:r>
      <w:r>
        <w:rPr>
          <w:rFonts w:ascii="Arial" w:hAnsi="Arial"/>
          <w:sz w:val="20"/>
          <w:szCs w:val="20"/>
        </w:rPr>
        <w:t xml:space="preserve"> → Posible no deducible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tipo_empresa: "Autónomo"</w:t>
      </w:r>
      <w:r>
        <w:rPr>
          <w:rFonts w:ascii="Arial" w:hAnsi="Arial"/>
          <w:sz w:val="20"/>
          <w:szCs w:val="20"/>
        </w:rPr>
        <w:t xml:space="preserve"> → Aplicar límites específicos (ej: manutención G11)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Consideraciones Técnicas: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CNAE permite mapear automáticamente a sectores económicos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CIF determina tipo de contribuyente (empresa/autónomo)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Se usa para construir prompts contextualizados en el LLM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Sector y tipo_empresa añaden contexto adicional para casos límite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Dirección puede detectar uso mixto (oficina en domicilio)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3. EMISOR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(Importante - Recomendado)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Identificación del proveedor</w:t>
      </w:r>
      <w:r>
        <w:rPr>
          <w:rFonts w:ascii="Arial" w:hAnsi="Arial"/>
          <w:sz w:val="20"/>
          <w:szCs w:val="20"/>
        </w:rPr>
        <w:t xml:space="preserve">: Algunos proveedores tienen tratamientos especiales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Detección automática de tipos de servicio por sector del emisor 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Alertas de compliance (paraísos fiscales, empresas vinculadas)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"emisor":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"nombre": "string",  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"cif": "string",    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"direccion": "string",       // ÚTIL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"email": "string",           // ÚTIL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"actividad_cnae": "string",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"pais_residencia": "string"  // IMPORTANTE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Validaciones: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nombre</w:t>
      </w:r>
      <w:r>
        <w:rPr>
          <w:rFonts w:ascii="Arial" w:hAnsi="Arial"/>
          <w:sz w:val="20"/>
          <w:szCs w:val="20"/>
        </w:rPr>
        <w:t xml:space="preserve">: Min 3 caracteres, máx 200 caracteres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cif</w:t>
      </w:r>
      <w:r>
        <w:rPr>
          <w:rFonts w:ascii="Arial" w:hAnsi="Arial"/>
          <w:sz w:val="20"/>
          <w:szCs w:val="20"/>
        </w:rPr>
        <w:t xml:space="preserve">: Formato válido (español o extranjero)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email</w:t>
      </w:r>
      <w:r>
        <w:rPr>
          <w:rFonts w:ascii="Arial" w:hAnsi="Arial"/>
          <w:sz w:val="20"/>
          <w:szCs w:val="20"/>
        </w:rPr>
        <w:t xml:space="preserve">: Formato email válido 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pais_residencia</w:t>
      </w:r>
      <w:r>
        <w:rPr>
          <w:rFonts w:ascii="Arial" w:hAnsi="Arial"/>
          <w:sz w:val="20"/>
          <w:szCs w:val="20"/>
        </w:rPr>
        <w:t xml:space="preserve">: Código ISO país (ES, FR, DE, etc.)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Casos de Uso: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"Iberdrola" + actividad_cnae: "3513"</w:t>
      </w:r>
      <w:r>
        <w:rPr>
          <w:rFonts w:ascii="Arial" w:hAnsi="Arial"/>
          <w:sz w:val="20"/>
          <w:szCs w:val="20"/>
        </w:rPr>
        <w:t xml:space="preserve"> → Automáticamente G14 (electricidad)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"Gestoría Martínez" + actividad_cnae: "6920"</w:t>
      </w:r>
      <w:r>
        <w:rPr>
          <w:rFonts w:ascii="Arial" w:hAnsi="Arial"/>
          <w:sz w:val="20"/>
          <w:szCs w:val="20"/>
        </w:rPr>
        <w:t xml:space="preserve"> → Probablemente G19 (servicios profesionales)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"Amazon Web Services" + pais_residencia: "IE"</w:t>
      </w:r>
      <w:r>
        <w:rPr>
          <w:rFonts w:ascii="Arial" w:hAnsi="Arial"/>
          <w:sz w:val="20"/>
          <w:szCs w:val="20"/>
        </w:rPr>
        <w:t xml:space="preserve"> → G19 (servicios cloud) + Alerta intracomunitario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pais_residencia: "Paraíso fiscal"</w:t>
      </w:r>
      <w:r>
        <w:rPr>
          <w:rFonts w:ascii="Arial" w:hAnsi="Arial"/>
          <w:sz w:val="20"/>
          <w:szCs w:val="20"/>
        </w:rPr>
        <w:t xml:space="preserve"> → Alerta compliance fiscal 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actividad_cnae coincide con receptor</w:t>
      </w:r>
      <w:r>
        <w:rPr>
          <w:rFonts w:ascii="Arial" w:hAnsi="Arial"/>
          <w:sz w:val="20"/>
          <w:szCs w:val="20"/>
        </w:rPr>
        <w:t xml:space="preserve"> → Posible operación vinculada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Consideraciones Técnicas: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Base de datos de proveedores conocidos mejora clasificación 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Detección de patrones en nombres (SL, SA, Gestoría, Consultoría) 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Validación contra listas de paraísos fiscales 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CNAE del emisor ayuda a inferir tipo de servicio/bien 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País de residencia detecta operaciones intracomunitarias automáticamente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4. IMPORTES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(Importante - Validación)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Validación de coherencia</w:t>
      </w:r>
      <w:r>
        <w:rPr>
          <w:rFonts w:ascii="Arial" w:hAnsi="Arial"/>
          <w:sz w:val="20"/>
          <w:szCs w:val="20"/>
        </w:rPr>
        <w:t xml:space="preserve">: Importes muy altos/bajos pueden indicar errores 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Cálculo de porcentajes de afectación 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Detección de umbrales fiscales especiales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"importes":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"base_imponible": "number",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"iva_21": "number",    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"iva_10": "number",    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"iva_4": "number",     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"iva_exento": "number",         // ÚTIL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"irpf": "number",               // IMPORTANTE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"recargo_equivalencia": "number", // ÚTIL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"total_impuestos": "number",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"total_retenciones": "number",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"total_factura": "number"       // RECOMENDADO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Validaciones: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total_factura</w:t>
      </w:r>
      <w:r>
        <w:rPr>
          <w:rFonts w:ascii="Arial" w:hAnsi="Arial"/>
          <w:sz w:val="20"/>
          <w:szCs w:val="20"/>
        </w:rPr>
        <w:t xml:space="preserve"> = </w:t>
      </w:r>
      <w:r>
        <w:rPr>
          <w:rStyle w:val="SourceText"/>
          <w:rFonts w:ascii="Arial" w:hAnsi="Arial"/>
          <w:sz w:val="20"/>
          <w:szCs w:val="20"/>
        </w:rPr>
        <w:t>base_imponible</w:t>
      </w:r>
      <w:r>
        <w:rPr>
          <w:rFonts w:ascii="Arial" w:hAnsi="Arial"/>
          <w:sz w:val="20"/>
          <w:szCs w:val="20"/>
        </w:rPr>
        <w:t xml:space="preserve"> + </w:t>
      </w:r>
      <w:r>
        <w:rPr>
          <w:rStyle w:val="SourceText"/>
          <w:rFonts w:ascii="Arial" w:hAnsi="Arial"/>
          <w:sz w:val="20"/>
          <w:szCs w:val="20"/>
        </w:rPr>
        <w:t>total_impuestos</w:t>
      </w:r>
      <w:r>
        <w:rPr>
          <w:rFonts w:ascii="Arial" w:hAnsi="Arial"/>
          <w:sz w:val="20"/>
          <w:szCs w:val="20"/>
        </w:rPr>
        <w:t xml:space="preserve"> - </w:t>
      </w:r>
      <w:r>
        <w:rPr>
          <w:rStyle w:val="SourceText"/>
          <w:rFonts w:ascii="Arial" w:hAnsi="Arial"/>
          <w:sz w:val="20"/>
          <w:szCs w:val="20"/>
        </w:rPr>
        <w:t>total_retenciones</w:t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total_impuestos</w:t>
      </w:r>
      <w:r>
        <w:rPr>
          <w:rFonts w:ascii="Arial" w:hAnsi="Arial"/>
          <w:sz w:val="20"/>
          <w:szCs w:val="20"/>
        </w:rPr>
        <w:t xml:space="preserve"> = suma de todos los IVAs + recargo_equivalencia 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total_retenciones</w:t>
      </w:r>
      <w:r>
        <w:rPr>
          <w:rFonts w:ascii="Arial" w:hAnsi="Arial"/>
          <w:sz w:val="20"/>
          <w:szCs w:val="20"/>
        </w:rPr>
        <w:t xml:space="preserve"> = </w:t>
      </w:r>
      <w:r>
        <w:rPr>
          <w:rStyle w:val="SourceText"/>
          <w:rFonts w:ascii="Arial" w:hAnsi="Arial"/>
          <w:sz w:val="20"/>
          <w:szCs w:val="20"/>
        </w:rPr>
        <w:t>irpf</w:t>
      </w:r>
      <w:r>
        <w:rPr>
          <w:rFonts w:ascii="Arial" w:hAnsi="Arial"/>
          <w:sz w:val="20"/>
          <w:szCs w:val="20"/>
        </w:rPr>
        <w:t xml:space="preserve"> + otras retenciones 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Todos los importes deben ser positivos o cero </w:t>
      </w:r>
    </w:p>
    <w:p>
      <w:pPr>
        <w:pStyle w:val="TextBody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Coherencia con suma de importes de conceptos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Casos de Uso: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total_factura &gt; 3000€ + "Comida"</w:t>
      </w:r>
      <w:r>
        <w:rPr>
          <w:rFonts w:ascii="Arial" w:hAnsi="Arial"/>
          <w:sz w:val="20"/>
          <w:szCs w:val="20"/>
        </w:rPr>
        <w:t xml:space="preserve"> → Alerta, probable error de clasificación 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iva_exento &gt; 0</w:t>
      </w:r>
      <w:r>
        <w:rPr>
          <w:rFonts w:ascii="Arial" w:hAnsi="Arial"/>
          <w:sz w:val="20"/>
          <w:szCs w:val="20"/>
        </w:rPr>
        <w:t xml:space="preserve"> → Posible exención, verificar motivo (educación, salud) 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iva_4 &gt; 0</w:t>
      </w:r>
      <w:r>
        <w:rPr>
          <w:rFonts w:ascii="Arial" w:hAnsi="Arial"/>
          <w:sz w:val="20"/>
          <w:szCs w:val="20"/>
        </w:rPr>
        <w:t xml:space="preserve"> → Probable libro, formación → Ayuda clasificación G19 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irpf &gt; 0</w:t>
      </w:r>
      <w:r>
        <w:rPr>
          <w:rFonts w:ascii="Arial" w:hAnsi="Arial"/>
          <w:sz w:val="20"/>
          <w:szCs w:val="20"/>
        </w:rPr>
        <w:t xml:space="preserve"> → Servicio profesional, confirma G19/G40/G41/G42 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recargo_equivalencia &gt; 0</w:t>
      </w:r>
      <w:r>
        <w:rPr>
          <w:rFonts w:ascii="Arial" w:hAnsi="Arial"/>
          <w:sz w:val="20"/>
          <w:szCs w:val="20"/>
        </w:rPr>
        <w:t xml:space="preserve"> → Emisor en régimen especial </w:t>
      </w:r>
    </w:p>
    <w:p>
      <w:pPr>
        <w:pStyle w:val="TextBody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total_impuestos = 0</w:t>
      </w:r>
      <w:r>
        <w:rPr>
          <w:rFonts w:ascii="Arial" w:hAnsi="Arial"/>
          <w:sz w:val="20"/>
          <w:szCs w:val="20"/>
        </w:rPr>
        <w:t xml:space="preserve"> → Sin IVA, posible intracomunitario o exento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Consideraciones Técnicas: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Validaciones automáticas previas a clasificación 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Umbrales por código AEAT (ej: dietas tienen límites) 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Cálculo automático de tipos de IVA para inferir naturaleza del gasto 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Desglose de IVAs permite detección automática de servicios vs bienes 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IRPF confirma servicios profesionales independientes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5. FECHAS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(Útil - Contexto)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Contexto temporal</w:t>
      </w:r>
      <w:r>
        <w:rPr>
          <w:rFonts w:ascii="Arial" w:hAnsi="Arial"/>
          <w:sz w:val="20"/>
          <w:szCs w:val="20"/>
        </w:rPr>
        <w:t xml:space="preserve">: Algunos gastos son estacionales 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Validación de ejercicio fiscal 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Detección de patrones temporales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"fechas":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"emision": "YYYY-MM-DD",  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"prestacion_servicio": "YYYY-MM-DD", // IMPORTANTE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"vencimiento": "YYYY-MM-DD",       // ÚTIL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"pago_efectivo": "YYYY-MM-DD",     // IMPORTANTE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"contabilizacion": "YYYY-MM-DD"    // RECOMENDADO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Validaciones: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Formato ISO 8601 (YYYY-MM-DD) para todas las fechas 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prestacion_servicio</w:t>
      </w:r>
      <w:r>
        <w:rPr>
          <w:rFonts w:ascii="Arial" w:hAnsi="Arial"/>
          <w:sz w:val="20"/>
          <w:szCs w:val="20"/>
        </w:rPr>
        <w:t xml:space="preserve"> &lt;= </w:t>
      </w:r>
      <w:r>
        <w:rPr>
          <w:rStyle w:val="SourceText"/>
          <w:rFonts w:ascii="Arial" w:hAnsi="Arial"/>
          <w:sz w:val="20"/>
          <w:szCs w:val="20"/>
        </w:rPr>
        <w:t>emision</w:t>
      </w:r>
      <w:r>
        <w:rPr>
          <w:rFonts w:ascii="Arial" w:hAnsi="Arial"/>
          <w:sz w:val="20"/>
          <w:szCs w:val="20"/>
        </w:rPr>
        <w:t xml:space="preserve"> &lt;= </w:t>
      </w:r>
      <w:r>
        <w:rPr>
          <w:rStyle w:val="SourceText"/>
          <w:rFonts w:ascii="Arial" w:hAnsi="Arial"/>
          <w:sz w:val="20"/>
          <w:szCs w:val="20"/>
        </w:rPr>
        <w:t>vencimiento</w:t>
      </w:r>
      <w:r>
        <w:rPr>
          <w:rFonts w:ascii="Arial" w:hAnsi="Arial"/>
          <w:sz w:val="20"/>
          <w:szCs w:val="20"/>
        </w:rPr>
        <w:t xml:space="preserve"> 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Fechas no futuras (máximo hoy + 30 días) 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Fechas no muy antiguas (máximo 10 años)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Casos de Uso: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prestacion_servicio en julio + "Calefacción"</w:t>
      </w:r>
      <w:r>
        <w:rPr>
          <w:rFonts w:ascii="Arial" w:hAnsi="Arial"/>
          <w:sz w:val="20"/>
          <w:szCs w:val="20"/>
        </w:rPr>
        <w:t xml:space="preserve"> → Alerta, posible error estacional 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vencimiento &lt; pago_efectivo</w:t>
      </w:r>
      <w:r>
        <w:rPr>
          <w:rFonts w:ascii="Arial" w:hAnsi="Arial"/>
          <w:sz w:val="20"/>
          <w:szCs w:val="20"/>
        </w:rPr>
        <w:t xml:space="preserve"> → Retraso en pago, posible alerta financiera 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contabilizacion diferente ejercicio fiscal</w:t>
      </w:r>
      <w:r>
        <w:rPr>
          <w:rFonts w:ascii="Arial" w:hAnsi="Arial"/>
          <w:sz w:val="20"/>
          <w:szCs w:val="20"/>
        </w:rPr>
        <w:t xml:space="preserve"> → Verificar imputación temporal correcta 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emision diciembre + prestacion_servicio enero</w:t>
      </w:r>
      <w:r>
        <w:rPr>
          <w:rFonts w:ascii="Arial" w:hAnsi="Arial"/>
          <w:sz w:val="20"/>
          <w:szCs w:val="20"/>
        </w:rPr>
        <w:t xml:space="preserve"> → Facturación anticipada </w:t>
      </w:r>
    </w:p>
    <w:p>
      <w:pPr>
        <w:pStyle w:val="TextBody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pago_efectivo muy posterior</w:t>
      </w:r>
      <w:r>
        <w:rPr>
          <w:rFonts w:ascii="Arial" w:hAnsi="Arial"/>
          <w:sz w:val="20"/>
          <w:szCs w:val="20"/>
        </w:rPr>
        <w:t xml:space="preserve"> → Para ciertos regímenes fiscales relevante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Consideraciones Técnicas: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Enriquece prompts del LLM con contexto estacional 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Permite validaciones de coherencia temporal 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Útil para análisis de patrones de gasto 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Diferencias entre fechas detectan irregularidades 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Imputación temporal correcta para ejercicios fiscales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6. IDENTIFICACIÓN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(Útil - Trazabilidad)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Trazabilidad única</w:t>
      </w:r>
      <w:r>
        <w:rPr>
          <w:rFonts w:ascii="Arial" w:hAnsi="Arial"/>
          <w:sz w:val="20"/>
          <w:szCs w:val="20"/>
        </w:rPr>
        <w:t xml:space="preserve">: Identificación inequívoca de cada factura 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Prevención de duplicados en el sistema 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Referencia para auditorías y consultas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"identificacion":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"id_interno": "string",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"numero_factura": "string",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"serie": "string"          // OPCIONAL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Validaciones: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id_interno</w:t>
      </w:r>
      <w:r>
        <w:rPr>
          <w:rFonts w:ascii="Arial" w:hAnsi="Arial"/>
          <w:sz w:val="20"/>
          <w:szCs w:val="20"/>
        </w:rPr>
        <w:t xml:space="preserve">: Único en el sistema, formato alfanumérico 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numero_factura</w:t>
      </w:r>
      <w:r>
        <w:rPr>
          <w:rFonts w:ascii="Arial" w:hAnsi="Arial"/>
          <w:sz w:val="20"/>
          <w:szCs w:val="20"/>
        </w:rPr>
        <w:t xml:space="preserve">: Según normativa fiscal española 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serie</w:t>
      </w:r>
      <w:r>
        <w:rPr>
          <w:rFonts w:ascii="Arial" w:hAnsi="Arial"/>
          <w:sz w:val="20"/>
          <w:szCs w:val="20"/>
        </w:rPr>
        <w:t xml:space="preserve">: 1-3 caracteres alfanuméricos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7. CONTEXTO EMPRESARIAL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(Importante - Deducibilidad)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Afectación a la actividad</w:t>
      </w:r>
      <w:r>
        <w:rPr>
          <w:rFonts w:ascii="Arial" w:hAnsi="Arial"/>
          <w:sz w:val="20"/>
          <w:szCs w:val="20"/>
        </w:rPr>
        <w:t xml:space="preserve">: Determina porcentaje de deducibilidad 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Asignación contable correcta por centros de coste </w:t>
      </w:r>
    </w:p>
    <w:p>
      <w:pPr>
        <w:pStyle w:val="TextBody"/>
        <w:numPr>
          <w:ilvl w:val="0"/>
          <w:numId w:val="23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Justificación de la necesidad del gasto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"contexto_empresarial":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"departamento": "string",  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"centro_coste": "string", 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"proyecto": "string",              // OPCIONAL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"porcentaje_afectacion": "number", // CRÍTICO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"uso_empresarial": "string",       // IMPORTANTE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"justificacion_gasto": "string"    // RECOMENDADO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Casos de Uso: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Vehículo uso mixto</w:t>
      </w:r>
      <w:r>
        <w:rPr>
          <w:rFonts w:ascii="Arial" w:hAnsi="Arial"/>
          <w:sz w:val="20"/>
          <w:szCs w:val="20"/>
        </w:rPr>
        <w:t xml:space="preserve"> → porcentaje_afectacion: 70 → Solo 70% deducible 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Oficina en domicilio</w:t>
      </w:r>
      <w:r>
        <w:rPr>
          <w:rFonts w:ascii="Arial" w:hAnsi="Arial"/>
          <w:sz w:val="20"/>
          <w:szCs w:val="20"/>
        </w:rPr>
        <w:t xml:space="preserve"> → porcentaje_afectacion: 30 → 30% gastos casa deducibles </w:t>
      </w:r>
    </w:p>
    <w:p>
      <w:pPr>
        <w:pStyle w:val="TextBody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Comida cliente</w:t>
      </w:r>
      <w:r>
        <w:rPr>
          <w:rFonts w:ascii="Arial" w:hAnsi="Arial"/>
          <w:sz w:val="20"/>
          <w:szCs w:val="20"/>
        </w:rPr>
        <w:t xml:space="preserve"> → uso_empresarial: "Representación" → G19 vs personal 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8. INFORMACIÓN FISCAL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(Importante - Compliance)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Cumplimiento normativo</w:t>
      </w:r>
      <w:r>
        <w:rPr>
          <w:rFonts w:ascii="Arial" w:hAnsi="Arial"/>
          <w:sz w:val="20"/>
          <w:szCs w:val="20"/>
        </w:rPr>
        <w:t xml:space="preserve">: Validar aplicación correcta de impuestos 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Detección de operaciones especiales (intracomunitarias, exenciones) </w:t>
      </w:r>
    </w:p>
    <w:p>
      <w:pPr>
        <w:pStyle w:val="TextBody"/>
        <w:numPr>
          <w:ilvl w:val="0"/>
          <w:numId w:val="25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Alertas de compliance fiscal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"fiscal":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"regimen_iva": "string",              // IMPORTANTE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"exencion_aplicada": "boolean",       // IMPORTANTE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"inversion_sujeto_pasivo": "boolean", // IMPORTANTE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"operacion_intracomunitaria": "boolean", // IMPORTANTE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"retencion_aplicada": "boolean",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"tipo_retencion": "number"           // OPCIONAL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9. RELACIÓN COMERCIAL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(Importante - Alertas)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Detección operaciones vinculadas</w:t>
      </w:r>
      <w:r>
        <w:rPr>
          <w:rFonts w:ascii="Arial" w:hAnsi="Arial"/>
          <w:sz w:val="20"/>
          <w:szCs w:val="20"/>
        </w:rPr>
        <w:t xml:space="preserve">: Alertas de precios de transferencia </w:t>
      </w:r>
    </w:p>
    <w:p>
      <w:pPr>
        <w:pStyle w:val="TextBody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Validación independencia comercial </w:t>
      </w:r>
    </w:p>
    <w:p>
      <w:pPr>
        <w:pStyle w:val="TextBody"/>
        <w:numPr>
          <w:ilvl w:val="0"/>
          <w:numId w:val="26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Histórico de relación con proveedor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"relacion_comercial":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"tipo_relacion": "string",      // IMPORTANTE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"empresa_vinculada": "boolean", // CRÍTICO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"operacion_vinculada": "boolean", // CRÍTICO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"proveedor_habitual": "boolean" // ÚTIL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10. INFORMACIÓN DE PAGO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(Útil - Validación)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Validación de efectividad</w:t>
      </w:r>
      <w:r>
        <w:rPr>
          <w:rFonts w:ascii="Arial" w:hAnsi="Arial"/>
          <w:sz w:val="20"/>
          <w:szCs w:val="20"/>
        </w:rPr>
        <w:t xml:space="preserve">: Algunos regímenes requieren pago efectivo </w:t>
      </w:r>
    </w:p>
    <w:p>
      <w:pPr>
        <w:pStyle w:val="TextBody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Trazabilidad financiera completa </w:t>
      </w:r>
    </w:p>
    <w:p>
      <w:pPr>
        <w:pStyle w:val="TextBody"/>
        <w:numPr>
          <w:ilvl w:val="0"/>
          <w:numId w:val="27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Detección de pagos irregulares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"pago":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"forma_pago": "string",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"fecha_pago": "YYYY-MM-DD",   // IMPORTANTE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"estado_pago": "string",      // ÚTIL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"cuenta_bancaria": "string"   // OPCIONAL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11. DOCUMENTACIÓN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(Útil - Soporte)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Documentación de soporte</w:t>
      </w:r>
      <w:r>
        <w:rPr>
          <w:rFonts w:ascii="Arial" w:hAnsi="Arial"/>
          <w:sz w:val="20"/>
          <w:szCs w:val="20"/>
        </w:rPr>
        <w:t xml:space="preserve">: Facilita auditorías </w:t>
      </w:r>
    </w:p>
    <w:p>
      <w:pPr>
        <w:pStyle w:val="TextBody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Validación de facturas rectificativas </w:t>
      </w:r>
    </w:p>
    <w:p>
      <w:pPr>
        <w:pStyle w:val="TextBody"/>
        <w:numPr>
          <w:ilvl w:val="0"/>
          <w:numId w:val="28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Gestión documental completa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"documentacion":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"tipo_documento": "string",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"rectificativa": "boolean",        // IMPORTANTE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"documentos_adjuntos": "array",    // ÚTIL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"firma_electronica": "boolean"     // OPCIONAL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rial" w:hAnsi="Arial"/>
          <w:b/>
          <w:sz w:val="20"/>
          <w:szCs w:val="20"/>
        </w:rPr>
        <w:t>12. TRAZABILIDAD</w:t>
      </w:r>
      <w:r>
        <w:rPr>
          <w:rFonts w:ascii="Arial" w:hAnsi="Arial"/>
          <w:sz w:val="20"/>
          <w:szCs w:val="20"/>
        </w:rPr>
        <w:t xml:space="preserve"> </w:t>
      </w:r>
      <w:r>
        <w:rPr>
          <w:rStyle w:val="Emphasis"/>
          <w:rFonts w:ascii="Arial" w:hAnsi="Arial"/>
          <w:sz w:val="20"/>
          <w:szCs w:val="20"/>
        </w:rPr>
        <w:t>(Útil - Auditoría)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Propósito:</w:t>
      </w:r>
    </w:p>
    <w:p>
      <w:pPr>
        <w:pStyle w:val="TextBody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Auditoría completa</w:t>
      </w:r>
      <w:r>
        <w:rPr>
          <w:rFonts w:ascii="Arial" w:hAnsi="Arial"/>
          <w:sz w:val="20"/>
          <w:szCs w:val="20"/>
        </w:rPr>
        <w:t xml:space="preserve">: Quién, cuándo y qué cambios </w:t>
      </w:r>
    </w:p>
    <w:p>
      <w:pPr>
        <w:pStyle w:val="TextBody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Versionado de modificaciones </w:t>
      </w:r>
    </w:p>
    <w:p>
      <w:pPr>
        <w:pStyle w:val="TextBody"/>
        <w:numPr>
          <w:ilvl w:val="0"/>
          <w:numId w:val="29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Cumplimiento normativo de conservación 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Estructura: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>"trazabilidad":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"fecha_creacion": "datetime",          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"fecha_ultima_modificacion": "datetime", // RECOMENDADO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"usuario_creacion": "string",           // ÚTIL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Arial" w:hAnsi="Arial"/>
          <w:sz w:val="20"/>
          <w:szCs w:val="20"/>
        </w:rPr>
        <w:t xml:space="preserve">  </w:t>
      </w:r>
      <w:r>
        <w:rPr>
          <w:rStyle w:val="SourceText"/>
          <w:rFonts w:ascii="Arial" w:hAnsi="Arial"/>
          <w:sz w:val="20"/>
          <w:szCs w:val="20"/>
        </w:rPr>
        <w:t>"version": "number"                     // ÚTIL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Arial" w:hAnsi="Arial"/>
          <w:sz w:val="20"/>
          <w:szCs w:val="20"/>
        </w:rPr>
        <w:t>}</w:t>
      </w:r>
    </w:p>
    <w:p>
      <w:pPr>
        <w:pStyle w:val="HorizontalLine"/>
        <w:bidi w:val="0"/>
        <w:jc w:val="lef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Arial" w:hAnsi="Arial"/>
          <w:sz w:val="20"/>
          <w:szCs w:val="20"/>
        </w:rPr>
        <w:t>Esta estructura completa permite clasificaciones precisas en el 99.5% de casos, cumplimiento normativo total, y trazabilidad completa para auditorías fiscales. Los campos marcados como CRÍTICOS y OBLIGATORIOS son suficientes para clasificación básica, mientras que el resto mejora precisión y compliance.</w:t>
      </w:r>
    </w:p>
    <w:p>
      <w:pPr>
        <w:pStyle w:val="Normal"/>
        <w:bidi w:val="0"/>
        <w:jc w:val="left"/>
        <w:rPr>
          <w:rFonts w:ascii="Arial" w:hAnsi="Arial"/>
          <w:sz w:val="20"/>
          <w:szCs w:val="2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Arial" w:hAnsi="Arial" w:eastAsia="Noto Serif CJK SC" w:cs="Lohit Devanagari"/>
      <w:b/>
      <w:bCs/>
      <w:sz w:val="24"/>
      <w:szCs w:val="24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Arial" w:hAnsi="Arial" w:eastAsia="Noto Serif CJK SC" w:cs="Lohit Devanagari"/>
      <w:b/>
      <w:bCs/>
      <w:sz w:val="22"/>
      <w:szCs w:val="22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8</Pages>
  <Words>1708</Words>
  <Characters>12068</Characters>
  <CharactersWithSpaces>14290</CharactersWithSpaces>
  <Paragraphs>361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2025-07-26T10:55:22Z</dcterms:created>
  <dc:creator/>
  <dc:description/>
  <dc:language>en-US</dc:language>
  <cp:lastModifiedBy/>
  <dcterms:modified xsi:type="dcterms:W3CDTF">2025-09-10T12:02:08Z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