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&gt; Despliegue AWS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Contenedorizar el runtime (FastAPI + FAISS + sentence-transformers + playwright para AEAT). </w:t>
      </w:r>
      <w:r>
        <w:rPr>
          <w:color w:val="C9211E"/>
        </w:rPr>
        <w:t>Empaquetar con Docker,</w:t>
      </w:r>
      <w:r>
        <w:rPr/>
        <w:t xml:space="preserve"> subir a ECR y versionar dependencias para reproducibilidad; validar compatibilidad con la librería FAISS en la imagen base (probablemente amazonlinux + CUDA opcional).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Ejecutar la API en ECS Fargate o, si se requiere GPU/hosts dedicados, en EC2 en un Auto Scaling Group detrás de un Application Load Balancer que soporte HTTP+WebSocket. Alternativa administrada: </w:t>
      </w:r>
      <w:r>
        <w:rPr>
          <w:color w:val="C9211E"/>
        </w:rPr>
        <w:t>AWS App Runner si las websockets no son críticas</w:t>
      </w:r>
      <w:r>
        <w:rPr/>
        <w:t>, o Elastic Beanstalk para simplificar IaC inicial.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Mover la persistencia de SQLite (smartdoc_persistence.db) a un servicio multi-instancia: </w:t>
      </w:r>
      <w:r>
        <w:rPr>
          <w:color w:val="C9211E"/>
        </w:rPr>
        <w:t>Amazon RDS (PostgreSQL/SQLite wrapper)</w:t>
      </w:r>
      <w:r>
        <w:rPr/>
        <w:t xml:space="preserve"> o Aurora Serverless si se espera autoescalado; replicar el esquema al migrar. Para cachés pesadas/locks, usar DynamoDB o ElastiCache (Redis) en lugar de diccionarios globales en memoria compartida.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Gestionar los archivos y resultados (PDFs, índices FAISS serializados, CSV/JSON) en S3 con versionado y políticas de ciclo de vida; montar un bucket de ingesta y otro de persistencia. Usar EFS sólo si se necesita POSIX compartido entre tareas.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>
          <w:color w:val="C9211E"/>
        </w:rPr>
        <w:t>Orquestar tareas largas/asincrónicas</w:t>
      </w:r>
      <w:r>
        <w:rPr/>
        <w:t xml:space="preserve"> (scraping AEAT, generación de embeddings) mediante AWS Batch o Fargate tasks disparadas desde SQS. Para colas/locks distribuidos reemplazar Queue/Lock por SQS + DynamoDB TTL.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Gestionar secretos (credenciales AEAT, VLLM_*, API keys) con AWS Secrets Manager o Parameter Store con rotación automática; conectarlos vía IAM Roles para tareas/ECS.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Supervisión: logs y métricas en CloudWatch (incluir métricas personalizadas de AEAT pool, tiempos de scraping). Para trazabilidad, integrar AWS X-Ray; configurar alarmas (latencia API, errores 5xx, uso de CPU/RAM) con SNS/Slack.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Seguridad y red: desplegar dentro de un VPC con subredes públicas/privadas; permitir salida controlada hacia AEAT/VLLM; usar Security Groups restrictivos y AWS WAF delante del ALB si se expone públicamente. Para acceso administrativo, habilitar Systems Manager Session Manager y no abrir SSH.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 xml:space="preserve">- </w:t>
      </w:r>
      <w:r>
        <w:rPr>
          <w:color w:val="C9211E"/>
        </w:rPr>
        <w:t>CI/CD: CodePipeline + CodeBuild (o GitHub Actions)</w:t>
      </w:r>
      <w:r>
        <w:rPr/>
        <w:t xml:space="preserve"> para build/test, push a ECR y despliegue en ECS (con validación blue/green). Añadir pruebas de humo automáticas antes de promocionar.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- Cumplimiento y backups: habilitar snapshots automáticos de RDS, copias cruzadas de S3, cifrado en reposo con KMS, y control de versiones de configuraciones (CloudFormation/Terraform). Considerar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GuardDuty/Config para postura de seguridad.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>
          <w:b w:val="false"/>
          <w:bCs w:val="false"/>
          <w:color w:val="C9211E"/>
        </w:rPr>
        <w:t>Cost control: autoscaling en ECS/ASG basado en CPU/latencia, usar Savings Plans si se requiere GPU/EC2 persistente, y S3 Intelligent-Tiering para archivos históricos.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 xml:space="preserve">Scrapeo de </w:t>
      </w:r>
      <w:hyperlink r:id="rId2">
        <w:r>
          <w:rPr>
            <w:rStyle w:val="InternetLink"/>
            <w:rFonts w:ascii="JetBrains Mono" w:hAnsi="JetBrains Mono"/>
            <w:b w:val="false"/>
            <w:i w:val="false"/>
            <w:color w:val="6AAB73"/>
            <w:sz w:val="20"/>
          </w:rPr>
          <w:t>https://petete.tributos.hacienda.gob.es/consultas/</w:t>
        </w:r>
      </w:hyperlink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ArangoDB + milvus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Entrenar modelos especificamente.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etete.tributos.hacienda.gob.es/consultas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393</Words>
  <Characters>2406</Characters>
  <CharactersWithSpaces>2806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2025-10-10T08:18:23Z</dcterms:created>
  <dc:creator/>
  <dc:description/>
  <dc:language>en-US</dc:language>
  <cp:lastModifiedBy/>
  <dcterms:modified xsi:type="dcterms:W3CDTF">2025-10-10T10:01:09Z</dcterms:modified>
  <cp:revision>1</cp:revision>
  <dc:subject/>
  <dc:title/>
</cp:coreProperties>
</file>