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53"/>
        <w:gridCol w:w="4453"/>
      </w:tblGrid>
      <w:tr>
        <w:tc>
          <w:tcPr>
            <w:tcW w:type="dxa" w:w="5453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Apellido y nombre: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_________________________________</w:t>
            </w:r>
          </w:p>
        </w:tc>
        <w:tc>
          <w:tcPr>
            <w:tcW w:type="dxa" w:w="4453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DNI: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_____________ 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Fecha: </w:t>
            </w: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___/___/2025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Tiempo: 90 min  |  Total: 10 pts  |  Aprobación: 6 pts  |  Material: cerrado  |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Las respuestas se desarrollan en el espacio en blanco al dorso, identificando la sección y número de consigna.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838"/>
        <w:gridCol w:w="1240"/>
      </w:tblGrid>
      <w:tr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</w:t>
            </w:r>
          </w:p>
        </w:tc>
        <w:tc>
          <w:tcPr>
            <w:tcW w:type="dxa" w:w="78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VERDADERO o FALSO  —  0,4 pt c/u  |  Si la afirmación es Falsa, justifique en el espacio de respuestas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pt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158"/>
        <w:gridCol w:w="1100"/>
      </w:tblGrid>
      <w:tr>
        <w:tc>
          <w:tcPr>
            <w:tcW w:type="dxa" w:w="3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815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CCCCCC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Afirmación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CCCC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 / F</w:t>
            </w:r>
          </w:p>
        </w:tc>
      </w:tr>
      <w:tr>
        <w:tc>
          <w:tcPr>
            <w:tcW w:type="dxa" w:w="3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15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oferta puede ser revocada por el oferente en cualquier momento, incluso después de haber sido aceptada por el destinatario.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  /  F</w:t>
            </w:r>
          </w:p>
        </w:tc>
      </w:tr>
      <w:tr>
        <w:tc>
          <w:tcPr>
            <w:tcW w:type="dxa" w:w="3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15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plazo de gracia es un elemento accidental del contrato que debe pactarse expresamente para incorporarse al acuerdo.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  /  F</w:t>
            </w:r>
          </w:p>
        </w:tc>
      </w:tr>
      <w:tr>
        <w:tc>
          <w:tcPr>
            <w:tcW w:type="dxa" w:w="3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15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 contrato bilateral es necesariamente oneroso.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  /  F</w:t>
            </w:r>
          </w:p>
        </w:tc>
      </w:tr>
      <w:tr>
        <w:tc>
          <w:tcPr>
            <w:tcW w:type="dxa" w:w="3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15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principio de autonomía de la voluntad implica que las cláusulas libremente pactadas son obligatorias para las partes y el juez no puede modificarlas, salvo supuestos expresamente previstos por la ley.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  /  F</w:t>
            </w:r>
          </w:p>
        </w:tc>
      </w:tr>
      <w:tr>
        <w:tc>
          <w:tcPr>
            <w:tcW w:type="dxa" w:w="38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15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causa fin del contrato y el objeto son conceptos equivalentes: ambos aluden a las prestaciones que las partes se deben recíprocamente.</w:t>
            </w:r>
          </w:p>
        </w:tc>
        <w:tc>
          <w:tcPr>
            <w:tcW w:type="dxa" w:w="11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  /  F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838"/>
        <w:gridCol w:w="1240"/>
      </w:tblGrid>
      <w:tr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</w:t>
            </w:r>
          </w:p>
        </w:tc>
        <w:tc>
          <w:tcPr>
            <w:tcW w:type="dxa" w:w="78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OPCIÓN MÚLTIPLE  —  0,5 pt c/u  |  Una sola opción correcta, marque con X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1,5 pt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Sobre la oferta contractual (art. 972 y cc. CCCN), es correcto afirmar que: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 </w:t>
      </w:r>
      <w:r>
        <w:rPr>
          <w:rFonts w:ascii="Arial" w:cs="Arial" w:eastAsia="Arial" w:hAnsi="Arial"/>
          <w:sz w:val="20"/>
          <w:szCs w:val="20"/>
        </w:rPr>
        <w:t xml:space="preserve">La oferta no necesita contener los elementos esenciales del contrato propuesto.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 </w:t>
      </w:r>
      <w:r>
        <w:rPr>
          <w:rFonts w:ascii="Arial" w:cs="Arial" w:eastAsia="Arial" w:hAnsi="Arial"/>
          <w:sz w:val="20"/>
          <w:szCs w:val="20"/>
        </w:rPr>
        <w:t xml:space="preserve">La oferta es autosuficiente cuando contiene los elementos esenciales del contrato y la voluntad de quedar obligado.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 </w:t>
      </w:r>
      <w:r>
        <w:rPr>
          <w:rFonts w:ascii="Arial" w:cs="Arial" w:eastAsia="Arial" w:hAnsi="Arial"/>
          <w:sz w:val="20"/>
          <w:szCs w:val="20"/>
        </w:rPr>
        <w:t xml:space="preserve">La oferta con plazo puede revocarse libremente antes del vencimiento si el oferente lo comunica al destinatario.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 </w:t>
      </w:r>
      <w:r>
        <w:rPr>
          <w:rFonts w:ascii="Arial" w:cs="Arial" w:eastAsia="Arial" w:hAnsi="Arial"/>
          <w:sz w:val="20"/>
          <w:szCs w:val="20"/>
        </w:rPr>
        <w:t xml:space="preserve">La oferta dirigida a personas indeterminadas tiene siempre carácter vinculante.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Son elementos accidentales del contrato: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 </w:t>
      </w:r>
      <w:r>
        <w:rPr>
          <w:rFonts w:ascii="Arial" w:cs="Arial" w:eastAsia="Arial" w:hAnsi="Arial"/>
          <w:sz w:val="20"/>
          <w:szCs w:val="20"/>
        </w:rPr>
        <w:t xml:space="preserve">El consentimiento, el objeto y la causa.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 </w:t>
      </w:r>
      <w:r>
        <w:rPr>
          <w:rFonts w:ascii="Arial" w:cs="Arial" w:eastAsia="Arial" w:hAnsi="Arial"/>
          <w:sz w:val="20"/>
          <w:szCs w:val="20"/>
        </w:rPr>
        <w:t xml:space="preserve">La capacidad de las partes y la forma exigida por la ley.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 </w:t>
      </w:r>
      <w:r>
        <w:rPr>
          <w:rFonts w:ascii="Arial" w:cs="Arial" w:eastAsia="Arial" w:hAnsi="Arial"/>
          <w:sz w:val="20"/>
          <w:szCs w:val="20"/>
        </w:rPr>
        <w:t xml:space="preserve">Las modalidades (condición, plazo y cargo) incorporadas voluntariamente por las partes.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 </w:t>
      </w:r>
      <w:r>
        <w:rPr>
          <w:rFonts w:ascii="Arial" w:cs="Arial" w:eastAsia="Arial" w:hAnsi="Arial"/>
          <w:sz w:val="20"/>
          <w:szCs w:val="20"/>
        </w:rPr>
        <w:t xml:space="preserve">La garantía de evicción y los vicios redhibitorios.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¿Cómo se clasifica la compraventa según los criterios de bilateralidad y onerosidad?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 </w:t>
      </w:r>
      <w:r>
        <w:rPr>
          <w:rFonts w:ascii="Arial" w:cs="Arial" w:eastAsia="Arial" w:hAnsi="Arial"/>
          <w:sz w:val="20"/>
          <w:szCs w:val="20"/>
        </w:rPr>
        <w:t xml:space="preserve">Unilateral y oneroso.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 </w:t>
      </w:r>
      <w:r>
        <w:rPr>
          <w:rFonts w:ascii="Arial" w:cs="Arial" w:eastAsia="Arial" w:hAnsi="Arial"/>
          <w:sz w:val="20"/>
          <w:szCs w:val="20"/>
        </w:rPr>
        <w:t xml:space="preserve">Bilateral y oneroso.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 </w:t>
      </w:r>
      <w:r>
        <w:rPr>
          <w:rFonts w:ascii="Arial" w:cs="Arial" w:eastAsia="Arial" w:hAnsi="Arial"/>
          <w:sz w:val="20"/>
          <w:szCs w:val="20"/>
        </w:rPr>
        <w:t xml:space="preserve">Bilateral y gratuito.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 </w:t>
      </w:r>
      <w:r>
        <w:rPr>
          <w:rFonts w:ascii="Arial" w:cs="Arial" w:eastAsia="Arial" w:hAnsi="Arial"/>
          <w:sz w:val="20"/>
          <w:szCs w:val="20"/>
        </w:rPr>
        <w:t xml:space="preserve">Unilateral y gratuito.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838"/>
        <w:gridCol w:w="1240"/>
      </w:tblGrid>
      <w:tr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</w:t>
            </w:r>
          </w:p>
        </w:tc>
        <w:tc>
          <w:tcPr>
            <w:tcW w:type="dxa" w:w="78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PREGUNTA A DESARROLLAR  —  Responda en el espacio de respuestas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2,5 pt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Contratos por adhesión a cláusulas generales predispuestas (art. 984 CCCN)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Explique el concepto y caracteres del contrato por adhesión. Desarrolle el régimen de las cláusulas abusivas: ¿cuáles son abusivas? ¿Qué sanción prevé el CCCN? Por último, explique cómo debe interpretarse una cláusula oscura o ambigua en este tipo de contratos (principio contra proferentem).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838"/>
        <w:gridCol w:w="1240"/>
      </w:tblGrid>
      <w:tr>
        <w:tc>
          <w:tcPr>
            <w:tcW w:type="dxa" w:w="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</w:t>
            </w:r>
          </w:p>
        </w:tc>
        <w:tc>
          <w:tcPr>
            <w:tcW w:type="dxa" w:w="7838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CASO PRÁCTICO  —  Responda cada consigna en el espacio de respuestas</w:t>
            </w:r>
          </w:p>
        </w:tc>
        <w:tc>
          <w:tcPr>
            <w:tcW w:type="dxa" w:w="124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pt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SUPUESTO DE HECHO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marzo de 2025, Valentina y Rodrigo firmaron un instrumento privado por el cual Valentina se comprometió a venderle a Rodrigo un departamento ubicado en CABA por $ 20.000.000, con entrega de posesión en 60 días. Rodrigo abonó en ese acto el 30 % del precio. El documento fue suscripto ante dos testigos pero no ante escribano público.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Transcurridos los 60 días, Valentina entregó la posesión. Sin embargo, al cabo de 90 días adicionales, se negó a otorgar la escritura pública alegando que el precio «ya no refleja el mercado». Rodrigo, que tenía el saldo listo, la intimó fehacientemente a escriturar.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Se pide analizar la situación jurídica de las partes.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D.1.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(1 pt)  </w:t>
      </w:r>
      <w:r>
        <w:rPr>
          <w:rFonts w:ascii="Arial" w:cs="Arial" w:eastAsia="Arial" w:hAnsi="Arial"/>
          <w:sz w:val="20"/>
          <w:szCs w:val="20"/>
        </w:rPr>
        <w:t xml:space="preserve">¿Qué forma requiere la compraventa de inmuebles según el CCCN? ¿El instrumento privado suscripto es suficiente para transmitir el dominio? Explique la distinción entre forma ad solemnitatem y ad probationem en este contexto.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D.2.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(1 pt)  </w:t>
      </w:r>
      <w:r>
        <w:rPr>
          <w:rFonts w:ascii="Arial" w:cs="Arial" w:eastAsia="Arial" w:hAnsi="Arial"/>
          <w:sz w:val="20"/>
          <w:szCs w:val="20"/>
        </w:rPr>
        <w:t xml:space="preserve">¿Qué valor jurídico tiene el boleto de compraventa firmado? ¿Qué derechos otorga a Rodrigo frente al incumplimiento de Valentina? Cite las normas aplicables del CCCN.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D.3.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(1 pt)  </w:t>
      </w:r>
      <w:r>
        <w:rPr>
          <w:rFonts w:ascii="Arial" w:cs="Arial" w:eastAsia="Arial" w:hAnsi="Arial"/>
          <w:sz w:val="20"/>
          <w:szCs w:val="20"/>
        </w:rPr>
        <w:t xml:space="preserve">¿Puede Rodrigo exigir judicialmente el otorgamiento de la escritura? Explique en qué consiste el juicio de escrituración, qué requisitos debe reunir Rodrigo para promoverlo y cuál es la sentencia que puede obtener.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D.4. 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(1 pt)  </w:t>
      </w:r>
      <w:r>
        <w:rPr>
          <w:rFonts w:ascii="Arial" w:cs="Arial" w:eastAsia="Arial" w:hAnsi="Arial"/>
          <w:sz w:val="20"/>
          <w:szCs w:val="20"/>
        </w:rPr>
        <w:t xml:space="preserve">Clasifique el contrato celebrado entre Valentina y Rodrigo según: (a) las obligaciones que genera (bilateral/unilateral), (b) la ventaja patrimonial (oneroso/gratuito), (c) la equivalencia de las prestaciones (conmutativo/aleatorio) y (d) la exigencia de forma (formal/no formal). Justifique cada categoría.</w:t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ESPACIO DE RESPUESTAS  —  </w:t>
            </w: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Indique claramente la sección y número de consigna antes de cada respuesta (ej: A.1, B.3, C, D.2…)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2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Firma y aclaración del docente: _________________________________</w:t>
      </w:r>
    </w:p>
    <w:sectPr>
      <w:headerReference w:type="default" r:id="rId7"/>
      <w:footerReference w:type="default" r:id="rId8"/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3"/>
      </w:pBdr>
      <w:jc w:val="center"/>
    </w:pPr>
    <w:r>
      <w:rPr>
        <w:rFonts w:ascii="Arial" w:cs="Arial" w:eastAsia="Arial" w:hAnsi="Arial"/>
        <w:color w:val="999999"/>
        <w:sz w:val="17"/>
        <w:szCs w:val="17"/>
      </w:rPr>
      <w:t xml:space="preserve">Página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7"/>
        <w:szCs w:val="17"/>
      </w:rPr>
      <w:t xml:space="preserve"> de </w:t>
    </w:r>
    <w:r>
      <w:rPr>
        <w:rFonts w:ascii="Arial" w:cs="Arial" w:eastAsia="Arial" w:hAnsi="Arial"/>
        <w:color w:val="99999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06"/>
      <w:gridCol w:w="2500"/>
    </w:tblGrid>
    <w:tr>
      <w:tc>
        <w:tcPr>
          <w:tcW w:type="dxa" w:w="7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spacing w:after="60" w:before="60"/>
          </w:pPr>
          <w:r>
            <w:rPr>
              <w:rFonts w:ascii="Arial" w:cs="Arial" w:eastAsia="Arial" w:hAnsi="Arial"/>
              <w:b/>
              <w:bCs/>
              <w:color w:val="333333"/>
              <w:sz w:val="17"/>
              <w:szCs w:val="17"/>
            </w:rPr>
            <w:t xml:space="preserve">UNIVERSIDAD DE CIENCIAS EMPRESARIALES Y SOCIALES</w:t>
          </w:r>
        </w:p>
        <w:p>
          <w:pPr>
            <w:spacing w:after="60" w:before="60"/>
          </w:pPr>
          <w:r>
            <w:rPr>
              <w:rFonts w:ascii="Arial" w:cs="Arial" w:eastAsia="Arial" w:hAnsi="Arial"/>
              <w:color w:val="777777"/>
              <w:sz w:val="16"/>
              <w:szCs w:val="16"/>
            </w:rPr>
            <w:t xml:space="preserve">Facultad de Derecho y Ciencias Políticas  |  Contratos</w:t>
          </w:r>
        </w:p>
      </w:tc>
      <w:tc>
        <w:tcPr>
          <w:tcW w:type="dxa" w:w="2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spacing w:after="60" w:before="60"/>
            <w:jc w:val="right"/>
          </w:pPr>
          <w:r>
            <w:rPr>
              <w:rFonts w:ascii="Arial" w:cs="Arial" w:eastAsia="Arial" w:hAnsi="Arial"/>
              <w:b/>
              <w:bCs/>
              <w:color w:val="333333"/>
              <w:sz w:val="17"/>
              <w:szCs w:val="17"/>
            </w:rPr>
            <w:t xml:space="preserve">1° PARCIAL  —  2025</w:t>
          </w:r>
        </w:p>
      </w:tc>
    </w:tr>
  </w:tbl>
  <w:p>
    <w:pPr>
      <w:pBdr>
        <w:bottom w:val="single" w:color="999999" w:sz="6" w:space="2"/>
      </w:pBdr>
      <w:spacing w:after="0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2026-05-18T21:31:23.314Z</dcterms:created>
  <dcterms:modified xsi:type="dcterms:W3CDTF">2026-05-18T21:31:23.315Z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