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A–D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C (SLA), (d) Anlage A (Leistungsbeschreibung), (e) Anlage D (Abnahmeprotokoll), (f)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6 und § 7) können in Textform, per E-Mail oder über ein von NexAI bereitgestelltes Ticket-/Freigabesystem erfolgen.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gemäß dem Verfahren der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Nimmt der Kunde die im Wesentlichen vertragsgemäße Leistung nicht innerhalb der in Anlage D genannten Frist ab oder nutzt er sie produktiv, gilt die Abnahme als erfolgt; § 640 Abs. 2 BGB bleibt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Projektleistungen beträgt die </w:t>
      </w:r>
      <w:r>
        <w:rPr>
          <w:rFonts w:ascii="Arial" w:cs="Arial" w:eastAsia="Arial" w:hAnsi="Arial"/>
          <w:b/>
          <w:bCs/>
          <w:i w:val="false"/>
          <w:iCs w:val="false"/>
          <w:color w:val="1A1A1A"/>
          <w:sz w:val="21"/>
          <w:szCs w:val="21"/>
        </w:rPr>
        <w:t xml:space="preserve">Gewährleistungsfrist ein (1) Jahr ab Abnahme</w:t>
      </w:r>
      <w:r>
        <w:rPr>
          <w:rFonts w:ascii="Arial" w:cs="Arial" w:eastAsia="Arial" w:hAnsi="Arial"/>
          <w:b w:val="false"/>
          <w:bCs w:val="false"/>
          <w:i w:val="false"/>
          <w:iCs w:val="false"/>
          <w:color w:val="1A1A1A"/>
          <w:sz w:val="21"/>
          <w:szCs w:val="21"/>
        </w:rPr>
        <w:t xml:space="preserve">. Dies gilt nicht für Schäden aus der Verletzung des Lebens, des Körpers oder der Gesundheit, für Vorsatz und grobe Fahrlässigkeit, für arglistig verschwiegene Mängel sowie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 (Dienstvertrag)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richten sich nach Dienstvertragsrecht (§ 611 BGB). Geschuldet ist das fachgerechte Tätigwerden nach den anerkannten Regeln der Technik, </w:t>
      </w:r>
      <w:r>
        <w:rPr>
          <w:rFonts w:ascii="Arial" w:cs="Arial" w:eastAsia="Arial" w:hAnsi="Arial"/>
          <w:b/>
          <w:bCs/>
          <w:i w:val="false"/>
          <w:iCs w:val="false"/>
          <w:color w:val="1A1A1A"/>
          <w:sz w:val="21"/>
          <w:szCs w:val="21"/>
        </w:rPr>
        <w:t xml:space="preserve">nicht ein bestimmter Erfolg</w:t>
      </w:r>
      <w:r>
        <w:rPr>
          <w:rFonts w:ascii="Arial" w:cs="Arial" w:eastAsia="Arial" w:hAnsi="Arial"/>
          <w:b w:val="false"/>
          <w:bCs w:val="false"/>
          <w:i w:val="false"/>
          <w:iCs w:val="false"/>
          <w:color w:val="1A1A1A"/>
          <w:sz w:val="21"/>
          <w:szCs w:val="21"/>
        </w:rPr>
        <w:t xml:space="preserve"> (z. B. eine bestimmte Zahl an Terminen, Leads, Abschlüssen oder Umsätzen).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Verfügbarkeitsziele,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Aufzeichnung und Transkription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Sie erfolgt ausschließlich auf ausdrückliche, dokumentierte Weisung des Kunden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Wird eine Aufzeichnung oder Transkription auf Weisung des Kunden aktiviert, erfolgt dies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Aufzeichnung/Transkription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w:t>
      </w:r>
      <w:r>
        <w:rPr>
          <w:rFonts w:ascii="Arial" w:cs="Arial" w:eastAsia="Arial" w:hAnsi="Arial"/>
          <w:b/>
          <w:bCs/>
          <w:i w:val="false"/>
          <w:iCs w:val="false"/>
          <w:color w:val="1A1A1A"/>
          <w:sz w:val="21"/>
          <w:szCs w:val="21"/>
        </w:rPr>
        <w:t xml:space="preserve">nicht bevollmächtigt, rechtsverbindliche Erklärungen abzugeben</w:t>
      </w:r>
      <w:r>
        <w:rPr>
          <w:rFonts w:ascii="Arial" w:cs="Arial" w:eastAsia="Arial" w:hAnsi="Arial"/>
          <w:b w:val="false"/>
          <w:bCs w:val="false"/>
          <w:i w:val="false"/>
          <w:iCs w:val="false"/>
          <w:color w:val="1A1A1A"/>
          <w:sz w:val="21"/>
          <w:szCs w:val="21"/>
        </w:rPr>
        <w:t xml:space="preserve"> — insbesondere keine verbindlichen Preis- oder Konditionszusagen, keine Bestellungen und keinen Vertragsschluss namens des Kunden oder namens NexAIs.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fällt nur an, wenn und soweit sie im Auftragsformular vereinbart ist; sie ist mangels abweichender Vereinbarung mit der Abnahme der Einrichtung fällig. Im Übrigen ist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 geschuldet.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"____ EUR/Min.")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jährliche Beitrag ist im Voraus für die jeweilige Laufzeit fällig; der monatliche Beitrag ist im Voraus zu Beginn des jeweiligen Monats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 Rechnungen sind, sofern nichts anderes vereinbart ist, ohne Abzug binnen 14 Tagen ab Zugang zur Zahlung fällig.</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(9)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 Beiträge und Einheitspreise zur Anpassung an veränderte Kosten (insbesondere Kosten der Subunternehmer / Drittdienste, Personal-, Energie- und Infrastrukturkosten) anzupassen. Kostensenkungen sind in gleichem Maße weiterzugeben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Preisanpassungen werden dem Kunden mit einer Frist von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Wirksamwerden in Textform angekündigt. Eine </w:t>
      </w:r>
      <w:r>
        <w:rPr>
          <w:rFonts w:ascii="Arial" w:cs="Arial" w:eastAsia="Arial" w:hAnsi="Arial"/>
          <w:b/>
          <w:bCs/>
          <w:i w:val="false"/>
          <w:iCs w:val="false"/>
          <w:color w:val="1A1A1A"/>
          <w:sz w:val="21"/>
          <w:szCs w:val="21"/>
        </w:rPr>
        <w:t xml:space="preserve">Zustimmungsfiktion findet nicht statt</w:t>
      </w:r>
      <w:r>
        <w:rPr>
          <w:rFonts w:ascii="Arial" w:cs="Arial" w:eastAsia="Arial" w:hAnsi="Arial"/>
          <w:b w:val="false"/>
          <w:bCs w:val="false"/>
          <w:i w:val="false"/>
          <w:iCs w:val="false"/>
          <w:color w:val="1A1A1A"/>
          <w:sz w:val="21"/>
          <w:szCs w:val="21"/>
        </w:rPr>
        <w:t xml:space="preserve">; die Anpassung wird nach Ablauf der Ankündigungsfrist wirksam, wenn der Kunde nicht von seinem Sonderkündigungsrecht Gebrauch macht.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Erhöht sich der Beitrag um </w:t>
      </w:r>
      <w:r>
        <w:rPr>
          <w:rFonts w:ascii="Arial" w:cs="Arial" w:eastAsia="Arial" w:hAnsi="Arial"/>
          <w:b/>
          <w:bCs/>
          <w:i w:val="false"/>
          <w:iCs w:val="false"/>
          <w:color w:val="1A1A1A"/>
          <w:sz w:val="21"/>
          <w:szCs w:val="21"/>
        </w:rPr>
        <w:t xml:space="preserve">mehr als 5 %</w:t>
      </w:r>
      <w:r>
        <w:rPr>
          <w:rFonts w:ascii="Arial" w:cs="Arial" w:eastAsia="Arial" w:hAnsi="Arial"/>
          <w:b w:val="false"/>
          <w:bCs w:val="false"/>
          <w:i w:val="false"/>
          <w:iCs w:val="false"/>
          <w:color w:val="1A1A1A"/>
          <w:sz w:val="21"/>
          <w:szCs w:val="21"/>
        </w:rPr>
        <w:t xml:space="preserve"> gegenüber dem zuletzt geschuldeten Beitrag,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zum Zeitpunkt des Wirksamwerdens der Erhöhung zu; die Kündigung ist in Textform bis zum Wirksamwerden zu erklären. Macht der Kunde von seinem Sonderkündigungsrecht Gebrauch, gilt bis zum Wirksamwerden der Kündigung der bisherige Preis.</w:t>
      </w:r>
    </w:p>
    <w:p>
      <w:pPr>
        <w:pStyle w:val="Heading2"/>
        <w:keepNext/>
        <w:spacing w:after="80" w:before="160"/>
      </w:pPr>
      <w:r>
        <w:rPr>
          <w:rFonts w:ascii="Arial" w:cs="Arial" w:eastAsia="Arial" w:hAnsi="Arial"/>
          <w:b/>
          <w:bCs/>
          <w:i w:val="false"/>
          <w:iCs w:val="false"/>
          <w:color w:val="0B0B0F"/>
          <w:sz w:val="21"/>
          <w:szCs w:val="21"/>
        </w:rPr>
        <w:t xml:space="preserve">(10)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oder rechtskräftig festgestellten</w:t>
      </w:r>
      <w:r>
        <w:rPr>
          <w:rFonts w:ascii="Arial" w:cs="Arial" w:eastAsia="Arial" w:hAnsi="Arial"/>
          <w:b w:val="false"/>
          <w:bCs w:val="false"/>
          <w:i w:val="false"/>
          <w:iCs w:val="false"/>
          <w:color w:val="1A1A1A"/>
          <w:sz w:val="21"/>
          <w:szCs w:val="21"/>
        </w:rPr>
        <w:t xml:space="preserve"> Gegenforderungen aufrechnen.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Rabatt wird bei vorzeitiger Beendigung nicht anteilig erstattet; eine </w:t>
      </w:r>
      <w:r>
        <w:rPr>
          <w:rFonts w:ascii="Arial" w:cs="Arial" w:eastAsia="Arial" w:hAnsi="Arial"/>
          <w:b/>
          <w:bCs/>
          <w:i w:val="false"/>
          <w:iCs w:val="false"/>
          <w:color w:val="1A1A1A"/>
          <w:sz w:val="21"/>
          <w:szCs w:val="21"/>
        </w:rPr>
        <w:t xml:space="preserve">anteilige Rückerstattung ist ausgeschlossen</w:t>
      </w:r>
      <w:r>
        <w:rPr>
          <w:rFonts w:ascii="Arial" w:cs="Arial" w:eastAsia="Arial" w:hAnsi="Arial"/>
          <w:b w:val="false"/>
          <w:bCs w:val="false"/>
          <w:i w:val="false"/>
          <w:iCs w:val="false"/>
          <w:color w:val="1A1A1A"/>
          <w:sz w:val="21"/>
          <w:szCs w:val="21"/>
        </w:rPr>
        <w:t xml:space="preserve"> (vorbehaltlich § 22).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und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und § 21.</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 (Kardinalpflicht)</w:t>
      </w:r>
      <w:r>
        <w:rPr>
          <w:rFonts w:ascii="Arial" w:cs="Arial" w:eastAsia="Arial" w:hAnsi="Arial"/>
          <w:b w:val="false"/>
          <w:bCs w:val="false"/>
          <w:i w:val="false"/>
          <w:iCs w:val="false"/>
          <w:color w:val="1A1A1A"/>
          <w:sz w:val="21"/>
          <w:szCs w:val="21"/>
        </w:rPr>
        <w:t xml:space="preserve"> — d. h. einer Pflicht, deren Erfüllung die ordnungsgemäße Durchführung des Vertrags überhaupt erst ermöglicht und auf deren Einhaltung der Kunde regelmäßig vertrauen darf. In diesem Fall ist die Haftung auf den </w:t>
      </w:r>
      <w:r>
        <w:rPr>
          <w:rFonts w:ascii="Arial" w:cs="Arial" w:eastAsia="Arial" w:hAnsi="Arial"/>
          <w:b/>
          <w:bCs/>
          <w:i w:val="false"/>
          <w:iCs w:val="false"/>
          <w:color w:val="1A1A1A"/>
          <w:sz w:val="21"/>
          <w:szCs w:val="21"/>
        </w:rPr>
        <w:t xml:space="preserve">vertragstypischen, vorhersehbaren Schaden</w:t>
      </w:r>
      <w:r>
        <w:rPr>
          <w:rFonts w:ascii="Arial" w:cs="Arial" w:eastAsia="Arial" w:hAnsi="Arial"/>
          <w:b w:val="false"/>
          <w:bCs w:val="false"/>
          <w:i w:val="false"/>
          <w:iCs w:val="false"/>
          <w:color w:val="1A1A1A"/>
          <w:sz w:val="21"/>
          <w:szCs w:val="21"/>
        </w:rPr>
        <w:t xml:space="preserve"> begrenzt. Die Haftung ist ferner der Höhe nach begrenzt auf die in den letzten zwölf (12) Monaten vor dem schadensauslösenden Ereignis vom Kunden gezahlte Vergütung, </w:t>
      </w:r>
      <w:r>
        <w:rPr>
          <w:rFonts w:ascii="Arial" w:cs="Arial" w:eastAsia="Arial" w:hAnsi="Arial"/>
          <w:b/>
          <w:bCs/>
          <w:i w:val="false"/>
          <w:iCs w:val="false"/>
          <w:color w:val="1A1A1A"/>
          <w:sz w:val="21"/>
          <w:szCs w:val="21"/>
        </w:rPr>
        <w:t xml:space="preserve">mindestens jedoch "____ EUR"</w:t>
      </w:r>
      <w:r>
        <w:rPr>
          <w:rFonts w:ascii="Arial" w:cs="Arial" w:eastAsia="Arial" w:hAnsi="Arial"/>
          <w:b w:val="false"/>
          <w:bCs w:val="false"/>
          <w:i w:val="false"/>
          <w:iCs w:val="false"/>
          <w:color w:val="1A1A1A"/>
          <w:sz w:val="21"/>
          <w:szCs w:val="21"/>
        </w:rPr>
        <w:t xml:space="preserve"> je Schadensfall, sowie auf ein </w:t>
      </w:r>
      <w:r>
        <w:rPr>
          <w:rFonts w:ascii="Arial" w:cs="Arial" w:eastAsia="Arial" w:hAnsi="Arial"/>
          <w:b/>
          <w:bCs/>
          <w:i w:val="false"/>
          <w:iCs w:val="false"/>
          <w:color w:val="1A1A1A"/>
          <w:sz w:val="21"/>
          <w:szCs w:val="21"/>
        </w:rPr>
        <w:t xml:space="preserve">Jahres-Aggregat von "____ EUR"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Vapi, Twilio, Make, OpenAI, ElevenLabs, Google, Hoster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 Chat-Kontakte), namentlich Kontaktdaten, Gesprächsinhalte, Transkripte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Wo eine Speicherung technisch abschaltbar ist, erfolgt grundsätzlich </w:t>
      </w:r>
      <w:r>
        <w:rPr>
          <w:rFonts w:ascii="Arial" w:cs="Arial" w:eastAsia="Arial" w:hAnsi="Arial"/>
          <w:b/>
          <w:bCs/>
          <w:i w:val="false"/>
          <w:iCs w:val="false"/>
          <w:color w:val="1A1A1A"/>
          <w:sz w:val="21"/>
          <w:szCs w:val="21"/>
        </w:rPr>
        <w:t xml:space="preserve">keine Speicherung</w:t>
      </w:r>
      <w:r>
        <w:rPr>
          <w:rFonts w:ascii="Arial" w:cs="Arial" w:eastAsia="Arial" w:hAnsi="Arial"/>
          <w:b w:val="false"/>
          <w:bCs w:val="false"/>
          <w:i w:val="false"/>
          <w:iCs w:val="false"/>
          <w:color w:val="1A1A1A"/>
          <w:sz w:val="21"/>
          <w:szCs w:val="21"/>
        </w:rPr>
        <w:t xml:space="preserve">. Wo eine Speicherung technisch nicht abschaltbar oder zur Leistungserbringung erforderlich ist, werden die Daten für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aufbewahrt und anschließend gelöscht, soweit keine gesetzliche Aufbewahrungspflicht entgegensteht. Geschäftsdaten werden zusätzlich in den Systemen des Kunden geführt; das </w:t>
      </w:r>
      <w:r>
        <w:rPr>
          <w:rFonts w:ascii="Arial" w:cs="Arial" w:eastAsia="Arial" w:hAnsi="Arial"/>
          <w:b/>
          <w:bCs/>
          <w:i w:val="false"/>
          <w:iCs w:val="false"/>
          <w:color w:val="1A1A1A"/>
          <w:sz w:val="21"/>
          <w:szCs w:val="21"/>
        </w:rPr>
        <w:t xml:space="preserve">Kundensystem ist das führende 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die Pflichten nach Absatz (4), </w:t>
      </w:r>
      <w:r>
        <w:rPr>
          <w:rFonts w:ascii="Arial" w:cs="Arial" w:eastAsia="Arial" w:hAnsi="Arial"/>
          <w:b/>
          <w:bCs/>
          <w:i w:val="false"/>
          <w:iCs w:val="false"/>
          <w:color w:val="1A1A1A"/>
          <w:sz w:val="21"/>
          <w:szCs w:val="21"/>
        </w:rPr>
        <w:t xml:space="preserve">stellt er NexAI von allen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Akquise und Direktwerbung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Setzt der Kunde Agenten zur Akquise oder Direktwerbung ein, ist ausschließlich eine </w:t>
      </w:r>
      <w:r>
        <w:rPr>
          <w:rFonts w:ascii="Arial" w:cs="Arial" w:eastAsia="Arial" w:hAnsi="Arial"/>
          <w:b/>
          <w:bCs/>
          <w:i w:val="false"/>
          <w:iCs w:val="false"/>
          <w:color w:val="1A1A1A"/>
          <w:sz w:val="21"/>
          <w:szCs w:val="21"/>
        </w:rPr>
        <w:t xml:space="preserve">rechtlich zulässige Ansprache</w:t>
      </w:r>
      <w:r>
        <w:rPr>
          <w:rFonts w:ascii="Arial" w:cs="Arial" w:eastAsia="Arial" w:hAnsi="Arial"/>
          <w:b w:val="false"/>
          <w:bCs w:val="false"/>
          <w:i w:val="false"/>
          <w:iCs w:val="false"/>
          <w:color w:val="1A1A1A"/>
          <w:sz w:val="21"/>
          <w:szCs w:val="21"/>
        </w:rPr>
        <w:t xml:space="preserve"> zulässig (insbesondere nach § 7 UWG sowie Art. 6 und Art. 14 DSGVO). Der Kunde sichert zu, dass für die jeweilige Ansprache — soweit möglich — eine tragfähige Rechtsgrundlage besteht.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Durchführung von Kampagnen, die erkennbar </w:t>
      </w:r>
      <w:r>
        <w:rPr>
          <w:rFonts w:ascii="Arial" w:cs="Arial" w:eastAsia="Arial" w:hAnsi="Arial"/>
          <w:b/>
          <w:bCs/>
          <w:i w:val="false"/>
          <w:iCs w:val="false"/>
          <w:color w:val="1A1A1A"/>
          <w:sz w:val="21"/>
          <w:szCs w:val="21"/>
        </w:rPr>
        <w:t xml:space="preserve">rechtswidrig</w:t>
      </w:r>
      <w:r>
        <w:rPr>
          <w:rFonts w:ascii="Arial" w:cs="Arial" w:eastAsia="Arial" w:hAnsi="Arial"/>
          <w:b w:val="false"/>
          <w:bCs w:val="false"/>
          <w:i w:val="false"/>
          <w:iCs w:val="false"/>
          <w:color w:val="1A1A1A"/>
          <w:sz w:val="21"/>
          <w:szCs w:val="21"/>
        </w:rPr>
        <w:t xml:space="preserve"> sind oder gegen § 7 UWG bzw. datenschutzrechtliche Vorgaben verstoßen, ganz oder teilweise </w:t>
      </w:r>
      <w:r>
        <w:rPr>
          <w:rFonts w:ascii="Arial" w:cs="Arial" w:eastAsia="Arial" w:hAnsi="Arial"/>
          <w:b/>
          <w:bCs/>
          <w:i w:val="false"/>
          <w:iCs w:val="false"/>
          <w:color w:val="1A1A1A"/>
          <w:sz w:val="21"/>
          <w:szCs w:val="21"/>
        </w:rPr>
        <w:t xml:space="preserve">abzulehnen</w:t>
      </w:r>
      <w:r>
        <w:rPr>
          <w:rFonts w:ascii="Arial" w:cs="Arial" w:eastAsia="Arial" w:hAnsi="Arial"/>
          <w:b w:val="false"/>
          <w:bCs w:val="false"/>
          <w:i w:val="false"/>
          <w:iCs w:val="false"/>
          <w:color w:val="1A1A1A"/>
          <w:sz w:val="21"/>
          <w:szCs w:val="21"/>
        </w:rPr>
        <w:t xml:space="preserve"> oder auszusetzen.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Widersprüche und Opt-outs von angesprochenen Kontakten werden dokumentiert und beachtet; der Kunde stellt die Fortführung der Opt-out-Dokumentation in seinen Systemen sicher.</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einschließlich angemessener Kosten der Rechtsverteidigung.</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Vapi, Twilio, Make, OpenAI, ElevenLabs, Google, Hoster).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Störungen, Ausfälle oder Leistungsänderungen von Drittdiensten haftet NexAI </w:t>
      </w:r>
      <w:r>
        <w:rPr>
          <w:rFonts w:ascii="Arial" w:cs="Arial" w:eastAsia="Arial" w:hAnsi="Arial"/>
          <w:b/>
          <w:bCs/>
          <w:i w:val="false"/>
          <w:iCs w:val="false"/>
          <w:color w:val="1A1A1A"/>
          <w:sz w:val="21"/>
          <w:szCs w:val="21"/>
        </w:rPr>
        <w:t xml:space="preserve">nicht pauschal</w:t>
      </w:r>
      <w:r>
        <w:rPr>
          <w:rFonts w:ascii="Arial" w:cs="Arial" w:eastAsia="Arial" w:hAnsi="Arial"/>
          <w:b w:val="false"/>
          <w:bCs w:val="false"/>
          <w:i w:val="false"/>
          <w:iCs w:val="false"/>
          <w:color w:val="1A1A1A"/>
          <w:sz w:val="21"/>
          <w:szCs w:val="21"/>
        </w:rPr>
        <w:t xml:space="preserve">, sondern nur nach Maßgabe von § 12 und nur, soweit sie ein eigenes Verschulden trifft (</w:t>
      </w:r>
      <w:r>
        <w:rPr>
          <w:rFonts w:ascii="Arial" w:cs="Arial" w:eastAsia="Arial" w:hAnsi="Arial"/>
          <w:b/>
          <w:bCs/>
          <w:i w:val="false"/>
          <w:iCs w:val="false"/>
          <w:color w:val="1A1A1A"/>
          <w:sz w:val="21"/>
          <w:szCs w:val="21"/>
        </w:rPr>
        <w:t xml:space="preserve">Verschuldens-Carve-out</w:t>
      </w:r>
      <w:r>
        <w:rPr>
          <w:rFonts w:ascii="Arial" w:cs="Arial" w:eastAsia="Arial" w:hAnsi="Arial"/>
          <w:b w:val="false"/>
          <w:bCs w:val="false"/>
          <w:i w:val="false"/>
          <w:iCs w:val="false"/>
          <w:color w:val="1A1A1A"/>
          <w:sz w:val="21"/>
          <w:szCs w:val="21"/>
        </w:rPr>
        <w:t xml:space="preserve">); ein genereller Haftungsausschluss für Drittdienste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Ergebnisdaten für einen Zeitraum von </w:t>
      </w:r>
      <w:r>
        <w:rPr>
          <w:rFonts w:ascii="Arial" w:cs="Arial" w:eastAsia="Arial" w:hAnsi="Arial"/>
          <w:b/>
          <w:bCs/>
          <w:i w:val="false"/>
          <w:iCs w:val="false"/>
          <w:color w:val="1A1A1A"/>
          <w:sz w:val="21"/>
          <w:szCs w:val="21"/>
        </w:rPr>
        <w:t xml:space="preserve">dreißig (30) Tagen zum Export</w:t>
      </w:r>
      <w:r>
        <w:rPr>
          <w:rFonts w:ascii="Arial" w:cs="Arial" w:eastAsia="Arial" w:hAnsi="Arial"/>
          <w:b w:val="false"/>
          <w:bCs w:val="false"/>
          <w:i w:val="false"/>
          <w:iCs w:val="false"/>
          <w:color w:val="1A1A1A"/>
          <w:sz w:val="21"/>
          <w:szCs w:val="21"/>
        </w:rPr>
        <w:t xml:space="preserve">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zur Verfügung. Nach Ablauf dieser Frist werden die Daten gelöscht, soweit keine gesetzliche Aufbewahrungspflicht entgegensteht; NexAI erteilt auf Verlangen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Im Jahresmodell besteht bei ordentlicher Beendigung kein Anspruch auf anteilige Rückerstattung (§ 8 Abs. 2). § 22 (Höhere Gewalt) bleibt unberührt.</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w:t>
      </w:r>
      <w:r>
        <w:rPr>
          <w:rFonts w:ascii="Arial" w:cs="Arial" w:eastAsia="Arial" w:hAnsi="Arial"/>
          <w:b/>
          <w:bCs/>
          <w:i w:val="false"/>
          <w:iCs w:val="false"/>
          <w:color w:val="1A1A1A"/>
          <w:sz w:val="21"/>
          <w:szCs w:val="21"/>
        </w:rPr>
        <w:t xml:space="preserve">höherer Gewalt</w:t>
      </w:r>
      <w:r>
        <w:rPr>
          <w:rFonts w:ascii="Arial" w:cs="Arial" w:eastAsia="Arial" w:hAnsi="Arial"/>
          <w:b w:val="false"/>
          <w:bCs w:val="false"/>
          <w:i w:val="false"/>
          <w:iCs w:val="false"/>
          <w:color w:val="1A1A1A"/>
          <w:sz w:val="21"/>
          <w:szCs w:val="21"/>
        </w:rPr>
        <w:t xml:space="preserve"> beruht. Als höhere Gewalt gelten unvorhersehbare, außerhalb des zumutbaren Einflussbereichs liegende Ereignisse, insbesondere </w:t>
      </w:r>
      <w:r>
        <w:rPr>
          <w:rFonts w:ascii="Arial" w:cs="Arial" w:eastAsia="Arial" w:hAnsi="Arial"/>
          <w:b/>
          <w:bCs/>
          <w:i w:val="false"/>
          <w:iCs w:val="false"/>
          <w:color w:val="1A1A1A"/>
          <w:sz w:val="21"/>
          <w:szCs w:val="21"/>
        </w:rPr>
        <w:t xml:space="preserve">Cyberangriffe, Ausfall oder Insolvenz von Providern/Drittdiensten, behördliche Sperren oder Anordnungen sowie Netz-, Strom- und Telekommunikationsausfälle</w:t>
      </w:r>
      <w:r>
        <w:rPr>
          <w:rFonts w:ascii="Arial" w:cs="Arial" w:eastAsia="Arial" w:hAnsi="Arial"/>
          <w:b w:val="false"/>
          <w:bCs w:val="false"/>
          <w:i w:val="false"/>
          <w:iCs w:val="false"/>
          <w:color w:val="1A1A1A"/>
          <w:sz w:val="21"/>
          <w:szCs w:val="21"/>
        </w:rPr>
        <w:t xml:space="preserve">, ferner Naturereignisse, Pandemien, Streik und Krieg.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NexAI schuldet keine bestimmte Verfügbarkeit im Sinne einer Garantie, sondern ein fachgerechtes Bemühen um einen möglichst störungsfreien Betrieb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Verfügbarkeitsziele, Wartungsfenster und Reaktionszeiten ergeben sich, soweit vereinbart, aus Anlage C (SLA).</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dieses Vertrags ganz oder teilweise unwirksam oder undurchführbar sein oder werden, so bleibt die Wirksamkeit der übrigen Bestimmungen unberührt. Die Parteien werden eine unwirksame oder undurchführbare Bestimmung durch eine wirksame ersetzen, die dem wirtschaftlich Gewollten am nächsten kommt; entsprechendes gilt für Regelungslücken. Eine Umdeutung in eine bloße Geltung dispositiven Rechts findet insoweit nicht statt.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Ausschließlicher Gerichtsstand für alle Streitigkeiten aus und im Zusammenhang mit diesem Vertrag ist, soweit der Kunde Kaufmann, juristische Person des öffentlichen Rechts oder öffentlich-rechtliches Sondervermögen ist,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ist ein sorgfältig erstellter Entwurf. Er ersetzt keine Rechtsberatung und sollte vor Verwendung im Einzelfall anwaltlich geprüft und an die konkreten Umstände angepasst werden.</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Rahmen-Dienstleistungsvertrag für KI- und Automatisierungslösungen (B2B)</dc:title>
  <dc:creator>NexAI</dc:creator>
  <cp:lastModifiedBy>Un-named</cp:lastModifiedBy>
  <cp:revision>1</cp:revision>
  <dcterms:created xsi:type="dcterms:W3CDTF">2026-10-17T15:31:11.416Z</dcterms:created>
  <dcterms:modified xsi:type="dcterms:W3CDTF">2026-10-17T15:31:11.416Z</dcterms:modified>
</cp:coreProperties>
</file>

<file path=docProps/custom.xml><?xml version="1.0" encoding="utf-8"?>
<Properties xmlns="http://schemas.openxmlformats.org/officeDocument/2006/custom-properties" xmlns:vt="http://schemas.openxmlformats.org/officeDocument/2006/docPropsVTypes"/>
</file>