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und individuelle Anwendungen,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Anwendungen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Geschäftsbedingungen (AGB) – B2B</dc:title>
  <dc:creator>NexAI</dc:creator>
  <cp:lastModifiedBy>Un-named</cp:lastModifiedBy>
  <cp:revision>1</cp:revision>
  <dcterms:created xsi:type="dcterms:W3CDTF">2026-10-17T15:31:12.210Z</dcterms:created>
  <dcterms:modified xsi:type="dcterms:W3CDTF">2026-10-17T15:31:12.211Z</dcterms:modified>
</cp:coreProperties>
</file>

<file path=docProps/custom.xml><?xml version="1.0" encoding="utf-8"?>
<Properties xmlns="http://schemas.openxmlformats.org/officeDocument/2006/custom-properties" xmlns:vt="http://schemas.openxmlformats.org/officeDocument/2006/docPropsVTypes"/>
</file>