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i w:val="false"/>
          <w:iCs w:val="false"/>
          <w:color w:val="0B0B0F"/>
          <w:sz w:val="40"/>
          <w:szCs w:val="40"/>
        </w:rPr>
        <w:t xml:space="preserve">NexAI-Vertragswerk – einfach erklärt</w:t>
      </w:r>
    </w:p>
    <w:p>
      <w:pPr>
        <w:pBdr>
          <w:bottom w:val="single" w:color="1F3A8A" w:sz="18" w:space="4"/>
        </w:pBdr>
        <w:spacing w:after="160"/>
      </w:pPr>
    </w:p>
    <w:p>
      <w:pPr>
        <w:spacing w:after="200"/>
      </w:pPr>
      <w:r>
        <w:rPr>
          <w:rFonts w:ascii="Arial" w:cs="Arial" w:eastAsia="Arial" w:hAnsi="Arial"/>
          <w:b w:val="false"/>
          <w:bCs w:val="false"/>
          <w:i w:val="false"/>
          <w:iCs w:val="false"/>
          <w:color w:val="6B7280"/>
          <w:sz w:val="18"/>
          <w:szCs w:val="18"/>
        </w:rPr>
        <w:t xml:space="preserve">Stand: Oktober 2026 · Jeder Paragraph in 3 Sätzen, ohne Juristendeutsch</w:t>
      </w:r>
    </w:p>
    <w:p>
      <w:pPr>
        <w:spacing w:after="140" w:before="80"/>
      </w:pPr>
      <w:r>
        <w:rPr>
          <w:rFonts w:ascii="Arial" w:cs="Arial" w:eastAsia="Arial" w:hAnsi="Arial"/>
          <w:b w:val="false"/>
          <w:bCs w:val="false"/>
          <w:i/>
          <w:iCs/>
          <w:color w:val="6B7280"/>
          <w:sz w:val="18"/>
          <w:szCs w:val="18"/>
        </w:rPr>
        <w:t xml:space="preserve">Diese Fassung erklärt das Vertragswerk in einfacher Sprache. Rechtlich verbindlich sind allein die unterschriebenen Vertragsdokumente. Stand Oktober 2026: Entwurf, von NexAI erstellt; die anwaltliche Prüfung folgt. Eckige Klammern im Vertrag markieren, was Max noch festlegt; „[setzt voraus: …]“ markiert Zusagen, die erst gelten, wenn die Technik nachgezogen ist.</w:t>
      </w:r>
    </w:p>
    <w:p>
      <w:pPr>
        <w:pBdr>
          <w:bottom w:val="single" w:color="D1D5DB" w:sz="6" w:space="2"/>
        </w:pBdr>
        <w:spacing w:after="120"/>
      </w:pPr>
    </w:p>
    <w:p>
      <w:pPr>
        <w:pStyle w:val="Heading1"/>
        <w:keepNext/>
        <w:spacing w:after="100" w:before="260"/>
      </w:pPr>
      <w:r>
        <w:rPr>
          <w:rFonts w:ascii="Arial" w:cs="Arial" w:eastAsia="Arial" w:hAnsi="Arial"/>
          <w:b/>
          <w:bCs/>
          <w:i w:val="false"/>
          <w:iCs w:val="false"/>
          <w:color w:val="0B0B0F"/>
          <w:sz w:val="24"/>
          <w:szCs w:val="24"/>
        </w:rPr>
        <w:t xml:space="preserve">01 · Rahmen-Dienstleistungsvertrag</w:t>
      </w:r>
    </w:p>
    <w:p>
      <w:pPr>
        <w:spacing w:after="120" w:line="276"/>
        <w:jc w:val="both"/>
      </w:pPr>
      <w:r>
        <w:rPr>
          <w:rFonts w:ascii="Arial" w:cs="Arial" w:eastAsia="Arial" w:hAnsi="Arial"/>
          <w:b w:val="false"/>
          <w:bCs w:val="false"/>
          <w:i w:val="false"/>
          <w:iCs w:val="false"/>
          <w:color w:val="1A1A1A"/>
          <w:sz w:val="21"/>
          <w:szCs w:val="21"/>
        </w:rPr>
        <w:t xml:space="preserve">Das ist euer Grundvertrag mit jedem Kunden: Er regelt die allgemeinen Spielregeln der Zusammenarbeit, während die konkrete Leistung und der Preis im Auftragsformular und in den Anlagen A–E festgelegt werden.</w:t>
      </w:r>
    </w:p>
    <w:p>
      <w:pPr>
        <w:pStyle w:val="Heading2"/>
        <w:keepNext/>
        <w:spacing w:after="80" w:before="160"/>
      </w:pPr>
      <w:r>
        <w:rPr>
          <w:rFonts w:ascii="Arial" w:cs="Arial" w:eastAsia="Arial" w:hAnsi="Arial"/>
          <w:b/>
          <w:bCs/>
          <w:i w:val="false"/>
          <w:iCs w:val="false"/>
          <w:color w:val="0B0B0F"/>
          <w:sz w:val="21"/>
          <w:szCs w:val="21"/>
        </w:rPr>
        <w:t xml:space="preserve">Anbieter / Kunde (Kopf des Vertrags)</w:t>
      </w:r>
    </w:p>
    <w:p>
      <w:pPr>
        <w:spacing w:after="120" w:line="276"/>
        <w:jc w:val="both"/>
      </w:pPr>
      <w:r>
        <w:rPr>
          <w:rFonts w:ascii="Arial" w:cs="Arial" w:eastAsia="Arial" w:hAnsi="Arial"/>
          <w:b w:val="false"/>
          <w:bCs w:val="false"/>
          <w:i w:val="false"/>
          <w:iCs w:val="false"/>
          <w:color w:val="1A1A1A"/>
          <w:sz w:val="21"/>
          <w:szCs w:val="21"/>
        </w:rPr>
        <w:t xml:space="preserve">Hier stehen oben ihr als NexAI GbR (mit Max und Jason als Gesellschafter) fest eingetragen, darunter kommen die Felder für die Kundendaten. Beim Ausfüllen tragt ihr Firma, Adresse, Ansprechpartner und Steuernummer des Kunden ein. Achtet darauf, dass wirklich die vertretungsberechtigte Person unterschreibt, sonst ist der Vertrag im Zweifel angreifbar.</w:t>
      </w:r>
    </w:p>
    <w:p>
      <w:pPr>
        <w:pStyle w:val="Heading2"/>
        <w:keepNext/>
        <w:spacing w:after="80" w:before="160"/>
      </w:pPr>
      <w:r>
        <w:rPr>
          <w:rFonts w:ascii="Arial" w:cs="Arial" w:eastAsia="Arial" w:hAnsi="Arial"/>
          <w:b/>
          <w:bCs/>
          <w:i w:val="false"/>
          <w:iCs w:val="false"/>
          <w:color w:val="0B0B0F"/>
          <w:sz w:val="21"/>
          <w:szCs w:val="21"/>
        </w:rPr>
        <w:t xml:space="preserve">§ 1 Vertragsgegenstand, Vertragsdokumente und Rangfolge</w:t>
      </w:r>
    </w:p>
    <w:p>
      <w:pPr>
        <w:spacing w:after="120" w:line="276"/>
        <w:jc w:val="both"/>
      </w:pPr>
      <w:r>
        <w:rPr>
          <w:rFonts w:ascii="Arial" w:cs="Arial" w:eastAsia="Arial" w:hAnsi="Arial"/>
          <w:b w:val="false"/>
          <w:bCs w:val="false"/>
          <w:i w:val="false"/>
          <w:iCs w:val="false"/>
          <w:color w:val="1A1A1A"/>
          <w:sz w:val="21"/>
          <w:szCs w:val="21"/>
        </w:rPr>
        <w:t xml:space="preserve">Hier steht, was ihr macht: KI-Agenten und Anwendungen (CRM, Kalender, Mailagent, App). Neu ist, dass eine Anwendung entweder von euch betrieben oder dem Kunden als Kauflizenz für seinen eigenen Server überlassen wird; dafür gibt es die neue Anlage E. Wichtig ist die Rangfolge: Auftragsformular vor Rahmenvertrag vor Anlage E vor SLA vor Anlage A, und beim Datenschutz hat immer die AVV Vorrang; die KI-Regeln aus §§ 4 und 6 gelten jetzt auch für den Mailagenten.</w:t>
      </w:r>
    </w:p>
    <w:p>
      <w:pPr>
        <w:pStyle w:val="Heading2"/>
        <w:keepNext/>
        <w:spacing w:after="80" w:before="160"/>
      </w:pPr>
      <w:r>
        <w:rPr>
          <w:rFonts w:ascii="Arial" w:cs="Arial" w:eastAsia="Arial" w:hAnsi="Arial"/>
          <w:b/>
          <w:bCs/>
          <w:i w:val="false"/>
          <w:iCs w:val="false"/>
          <w:color w:val="0B0B0F"/>
          <w:sz w:val="21"/>
          <w:szCs w:val="21"/>
        </w:rPr>
        <w:t xml:space="preserve">§ 2 Vertragsschluss und Nachweis</w:t>
      </w:r>
    </w:p>
    <w:p>
      <w:pPr>
        <w:spacing w:after="120" w:line="276"/>
        <w:jc w:val="both"/>
      </w:pPr>
      <w:r>
        <w:rPr>
          <w:rFonts w:ascii="Arial" w:cs="Arial" w:eastAsia="Arial" w:hAnsi="Arial"/>
          <w:b w:val="false"/>
          <w:bCs w:val="false"/>
          <w:i w:val="false"/>
          <w:iCs w:val="false"/>
          <w:color w:val="1A1A1A"/>
          <w:sz w:val="21"/>
          <w:szCs w:val="21"/>
        </w:rPr>
        <w:t xml:space="preserve">Ein Vertrag kommt zustande, wenn beide unterschreiben oder sich per E-Mail/Textform einig sind – eine digitale Signatur reicht also aus. Im laufenden Betrieb genügen für Freigaben und Weisungen des Kunden E-Mail oder euer Ticketsystem, es muss nicht alles per Post kommen. Wichtig für euch: Ihr müsst wichtige Freigaben und Weisungen sauber dokumentieren, damit ihr später beweisen könnt, dass der Kunde etwas so wollte.</w:t>
      </w:r>
    </w:p>
    <w:p>
      <w:pPr>
        <w:pStyle w:val="Heading2"/>
        <w:keepNext/>
        <w:spacing w:after="80" w:before="160"/>
      </w:pPr>
      <w:r>
        <w:rPr>
          <w:rFonts w:ascii="Arial" w:cs="Arial" w:eastAsia="Arial" w:hAnsi="Arial"/>
          <w:b/>
          <w:bCs/>
          <w:i w:val="false"/>
          <w:iCs w:val="false"/>
          <w:color w:val="0B0B0F"/>
          <w:sz w:val="21"/>
          <w:szCs w:val="21"/>
        </w:rPr>
        <w:t xml:space="preserve">§ 3 Leistungen: Projekt- und Betriebsleistungen</w:t>
      </w:r>
    </w:p>
    <w:p>
      <w:pPr>
        <w:spacing w:after="120" w:line="276"/>
        <w:jc w:val="both"/>
      </w:pPr>
      <w:r>
        <w:rPr>
          <w:rFonts w:ascii="Arial" w:cs="Arial" w:eastAsia="Arial" w:hAnsi="Arial"/>
          <w:b w:val="false"/>
          <w:bCs w:val="false"/>
          <w:i w:val="false"/>
          <w:iCs w:val="false"/>
          <w:color w:val="1A1A1A"/>
          <w:sz w:val="21"/>
          <w:szCs w:val="21"/>
        </w:rPr>
        <w:t xml:space="preserve">Einmalige Projekte (Einrichtung, Installation) sind Werkvertrag mit Abnahme; der laufende Betrieb ist für Agenten Dienstvertrag, für gehostete Anwendungen kann nach dem BGH Mietrecht gelten. Deshalb steht jetzt drin, dass Verfügbarkeit, Minderung und Haftung sich nach Vertrag und SLA richten und die Haftung ohne Verschulden für anfängliche Mängel ausgeschlossen ist. Abnahme: Zeigt ihr die Fertigstellung schriftlich an und rügt der Kunde zehn Werktage keinen Mangel, gilt das Projekt als abgenommen; Mängelansprüche verjähren in einem Jahr ab gesetzlichem Beginn.</w:t>
      </w:r>
    </w:p>
    <w:p>
      <w:pPr>
        <w:pStyle w:val="Heading2"/>
        <w:keepNext/>
        <w:spacing w:after="80" w:before="160"/>
      </w:pPr>
      <w:r>
        <w:rPr>
          <w:rFonts w:ascii="Arial" w:cs="Arial" w:eastAsia="Arial" w:hAnsi="Arial"/>
          <w:b/>
          <w:bCs/>
          <w:i w:val="false"/>
          <w:iCs w:val="false"/>
          <w:color w:val="0B0B0F"/>
          <w:sz w:val="21"/>
          <w:szCs w:val="21"/>
        </w:rPr>
        <w:t xml:space="preserve">§ 4 KI-Systeme, Funktionsweise und KI-Transparenz</w:t>
      </w:r>
    </w:p>
    <w:p>
      <w:pPr>
        <w:spacing w:after="120" w:line="276"/>
        <w:jc w:val="both"/>
      </w:pPr>
      <w:r>
        <w:rPr>
          <w:rFonts w:ascii="Arial" w:cs="Arial" w:eastAsia="Arial" w:hAnsi="Arial"/>
          <w:b w:val="false"/>
          <w:bCs w:val="false"/>
          <w:i w:val="false"/>
          <w:iCs w:val="false"/>
          <w:color w:val="1A1A1A"/>
          <w:sz w:val="21"/>
          <w:szCs w:val="21"/>
        </w:rPr>
        <w:t xml:space="preserve">Hier steht klar, dass KI-Ausgaben nicht immer fehlerfrei sind und ihr keine Fehlerfreiheit schuldet, während der Kunde kritische Ergebnisse selbst prüfen muss. Das schützt euch, weil der Kunde für den richtigen Einsatz der Agenten verantwortlich ist. Ganz wichtig: Die KI-Kennzeichnung nach dem AI Act (Hinweis, dass man mit einer KI spricht) ist Pflicht und darf nicht abgeschaltet werden – wenn der Kunde das umgeht, dürft ihr den Agenten abschalten.</w:t>
      </w:r>
    </w:p>
    <w:p>
      <w:pPr>
        <w:pStyle w:val="Heading2"/>
        <w:keepNext/>
        <w:spacing w:after="80" w:before="160"/>
      </w:pPr>
      <w:r>
        <w:rPr>
          <w:rFonts w:ascii="Arial" w:cs="Arial" w:eastAsia="Arial" w:hAnsi="Arial"/>
          <w:b/>
          <w:bCs/>
          <w:i w:val="false"/>
          <w:iCs w:val="false"/>
          <w:color w:val="0B0B0F"/>
          <w:sz w:val="21"/>
          <w:szCs w:val="21"/>
        </w:rPr>
        <w:t xml:space="preserve">§ 5 Aufzeichnung und Transkription</w:t>
      </w:r>
    </w:p>
    <w:p>
      <w:pPr>
        <w:spacing w:after="120" w:line="276"/>
        <w:jc w:val="both"/>
      </w:pPr>
      <w:r>
        <w:rPr>
          <w:rFonts w:ascii="Arial" w:cs="Arial" w:eastAsia="Arial" w:hAnsi="Arial"/>
          <w:b w:val="false"/>
          <w:bCs w:val="false"/>
          <w:i w:val="false"/>
          <w:iCs w:val="false"/>
          <w:color w:val="1A1A1A"/>
          <w:sz w:val="21"/>
          <w:szCs w:val="21"/>
        </w:rPr>
        <w:t xml:space="preserve">Eine Tonaufzeichnung gibt es standardmäßig nicht. Ehrlich steht jetzt drin, dass Sprache während des Gesprächs in Text umgewandelt wird und der Telefonie-Anbieter ein technisches Protokoll eine Zeit lang hält (Anhang 3 der AVV). Dauerhafte Mitschriften oder Aufnahmen gibt es nur auf schriftliche Weisung des Kunden und immer mit Pflicht-Ansage.</w:t>
      </w:r>
    </w:p>
    <w:p>
      <w:pPr>
        <w:pStyle w:val="Heading2"/>
        <w:keepNext/>
        <w:spacing w:after="80" w:before="160"/>
      </w:pPr>
      <w:r>
        <w:rPr>
          <w:rFonts w:ascii="Arial" w:cs="Arial" w:eastAsia="Arial" w:hAnsi="Arial"/>
          <w:b/>
          <w:bCs/>
          <w:i w:val="false"/>
          <w:iCs w:val="false"/>
          <w:color w:val="0B0B0F"/>
          <w:sz w:val="21"/>
          <w:szCs w:val="21"/>
        </w:rPr>
        <w:t xml:space="preserve">§ 6 Automatisierte Erklärungen der Agenten</w:t>
      </w:r>
    </w:p>
    <w:p>
      <w:pPr>
        <w:spacing w:after="120" w:line="276"/>
        <w:jc w:val="both"/>
      </w:pPr>
      <w:r>
        <w:rPr>
          <w:rFonts w:ascii="Arial" w:cs="Arial" w:eastAsia="Arial" w:hAnsi="Arial"/>
          <w:b w:val="false"/>
          <w:bCs w:val="false"/>
          <w:i w:val="false"/>
          <w:iCs w:val="false"/>
          <w:color w:val="1A1A1A"/>
          <w:sz w:val="21"/>
          <w:szCs w:val="21"/>
        </w:rPr>
        <w:t xml:space="preserve">Die Agenten informieren, vereinbaren Termine und qualifizieren vor, geben aber keine Preis- oder Konditionszusagen, Bestellungen oder Vertragsschlüsse ab. Termine innerhalb der hinterlegten Zeiten sind ausdrücklich erlaubt. Was der Agent sagt, wird dem Kunden zugerechnet; für den selbsttätigen Versand des Mailagenten gibt es eine eigene Regel in Anlage A.</w:t>
      </w:r>
    </w:p>
    <w:p>
      <w:pPr>
        <w:pStyle w:val="Heading2"/>
        <w:keepNext/>
        <w:spacing w:after="80" w:before="160"/>
      </w:pPr>
      <w:r>
        <w:rPr>
          <w:rFonts w:ascii="Arial" w:cs="Arial" w:eastAsia="Arial" w:hAnsi="Arial"/>
          <w:b/>
          <w:bCs/>
          <w:i w:val="false"/>
          <w:iCs w:val="false"/>
          <w:color w:val="0B0B0F"/>
          <w:sz w:val="21"/>
          <w:szCs w:val="21"/>
        </w:rPr>
        <w:t xml:space="preserve">§ 7 Vergütung und Zahlung</w:t>
      </w:r>
    </w:p>
    <w:p>
      <w:pPr>
        <w:spacing w:after="120" w:line="276"/>
        <w:jc w:val="both"/>
      </w:pPr>
      <w:r>
        <w:rPr>
          <w:rFonts w:ascii="Arial" w:cs="Arial" w:eastAsia="Arial" w:hAnsi="Arial"/>
          <w:b w:val="false"/>
          <w:bCs w:val="false"/>
          <w:i w:val="false"/>
          <w:iCs w:val="false"/>
          <w:color w:val="1A1A1A"/>
          <w:sz w:val="21"/>
          <w:szCs w:val="21"/>
        </w:rPr>
        <w:t xml:space="preserve">Alle Preise sind netto; Einrichtungsgebühr nur, wenn sie im Auftragsformular steht, sonst Monats- oder Jahresbeitrag mit Freikontingent und Mehrverbrauch. Neu ist ein einziger Fälligkeitstag: Rechnung zum Monatsanfang, zahlbar binnen 14 Tagen ab Zugang. Für Kauflizenzen und Festpreis-Apps gilt Anlage E; Rechnungen gehen an die Rechnungsadresse, die der Kunde auch in der Anwendung hinterlegen kann.</w:t>
      </w:r>
    </w:p>
    <w:p>
      <w:pPr>
        <w:pStyle w:val="Heading2"/>
        <w:keepNext/>
        <w:spacing w:after="80" w:before="160"/>
      </w:pPr>
      <w:r>
        <w:rPr>
          <w:rFonts w:ascii="Arial" w:cs="Arial" w:eastAsia="Arial" w:hAnsi="Arial"/>
          <w:b/>
          <w:bCs/>
          <w:i w:val="false"/>
          <w:iCs w:val="false"/>
          <w:color w:val="0B0B0F"/>
          <w:sz w:val="21"/>
          <w:szCs w:val="21"/>
        </w:rPr>
        <w:t xml:space="preserve">§ 7 (10) Preisanpassung</w:t>
      </w:r>
    </w:p>
    <w:p>
      <w:pPr>
        <w:spacing w:after="120" w:line="276"/>
        <w:jc w:val="both"/>
      </w:pPr>
      <w:r>
        <w:rPr>
          <w:rFonts w:ascii="Arial" w:cs="Arial" w:eastAsia="Arial" w:hAnsi="Arial"/>
          <w:b w:val="false"/>
          <w:bCs w:val="false"/>
          <w:i w:val="false"/>
          <w:iCs w:val="false"/>
          <w:color w:val="1A1A1A"/>
          <w:sz w:val="21"/>
          <w:szCs w:val="21"/>
        </w:rPr>
        <w:t xml:space="preserve">Ihr dürft Preise nur noch so weit anpassen, wie sich eure Kosten nachweisbar geändert haben, und müsst Senkungen genauso weitergeben. Ankündigung sechs Wochen vorher, im Jahresmodell erst zum nächsten Vertragsjahr. Bei jeder Erhöhung darf der Kunde kündigen – die alte 5-%-Schwelle ist weg, weil sie vor Gericht kaum gehalten hätte.</w:t>
      </w:r>
    </w:p>
    <w:p>
      <w:pPr>
        <w:pStyle w:val="Heading2"/>
        <w:keepNext/>
        <w:spacing w:after="80" w:before="160"/>
      </w:pPr>
      <w:r>
        <w:rPr>
          <w:rFonts w:ascii="Arial" w:cs="Arial" w:eastAsia="Arial" w:hAnsi="Arial"/>
          <w:b/>
          <w:bCs/>
          <w:i w:val="false"/>
          <w:iCs w:val="false"/>
          <w:color w:val="0B0B0F"/>
          <w:sz w:val="21"/>
          <w:szCs w:val="21"/>
        </w:rPr>
        <w:t xml:space="preserve">§ 7 (11) Leistungsaussetzung bei Verzug</w:t>
      </w:r>
    </w:p>
    <w:p>
      <w:pPr>
        <w:spacing w:after="120" w:line="276"/>
        <w:jc w:val="both"/>
      </w:pPr>
      <w:r>
        <w:rPr>
          <w:rFonts w:ascii="Arial" w:cs="Arial" w:eastAsia="Arial" w:hAnsi="Arial"/>
          <w:b w:val="false"/>
          <w:bCs w:val="false"/>
          <w:i w:val="false"/>
          <w:iCs w:val="false"/>
          <w:color w:val="1A1A1A"/>
          <w:sz w:val="21"/>
          <w:szCs w:val="21"/>
        </w:rPr>
        <w:t xml:space="preserve">Wenn der Kunde nicht zahlt, dürft ihr den Betrieb aussetzen, aber erst nach Ankündigung und 7 Tagen Nachfrist. Beim Aussetzen löscht ihr nichts. Sobald der Kunde zahlt, schaltet ihr sofort wieder an.</w:t>
      </w:r>
    </w:p>
    <w:p>
      <w:pPr>
        <w:pStyle w:val="Heading2"/>
        <w:keepNext/>
        <w:spacing w:after="80" w:before="160"/>
      </w:pPr>
      <w:r>
        <w:rPr>
          <w:rFonts w:ascii="Arial" w:cs="Arial" w:eastAsia="Arial" w:hAnsi="Arial"/>
          <w:b/>
          <w:bCs/>
          <w:i w:val="false"/>
          <w:iCs w:val="false"/>
          <w:color w:val="0B0B0F"/>
          <w:sz w:val="21"/>
          <w:szCs w:val="21"/>
        </w:rPr>
        <w:t xml:space="preserve">§ 7 (12) Aufrechnung und Zurückbehaltung</w:t>
      </w:r>
    </w:p>
    <w:p>
      <w:pPr>
        <w:spacing w:after="120" w:line="276"/>
        <w:jc w:val="both"/>
      </w:pPr>
      <w:r>
        <w:rPr>
          <w:rFonts w:ascii="Arial" w:cs="Arial" w:eastAsia="Arial" w:hAnsi="Arial"/>
          <w:b w:val="false"/>
          <w:bCs w:val="false"/>
          <w:i w:val="false"/>
          <w:iCs w:val="false"/>
          <w:color w:val="1A1A1A"/>
          <w:sz w:val="21"/>
          <w:szCs w:val="21"/>
        </w:rPr>
        <w:t xml:space="preserve">Der Kunde darf nur mit unbestrittenen, rechtskräftigen oder entscheidungsreifen Forderungen aufrechnen. Neu: Wegen Mängeln derselben Leistung darf er immer aufrechnen, sonst wäre die Klausel nach dem BGH unwirksam. Zurückhalten darf er nur wegen Ansprüchen aus demselben Vertrag.</w:t>
      </w:r>
    </w:p>
    <w:p>
      <w:pPr>
        <w:pStyle w:val="Heading2"/>
        <w:keepNext/>
        <w:spacing w:after="80" w:before="160"/>
      </w:pPr>
      <w:r>
        <w:rPr>
          <w:rFonts w:ascii="Arial" w:cs="Arial" w:eastAsia="Arial" w:hAnsi="Arial"/>
          <w:b/>
          <w:bCs/>
          <w:i w:val="false"/>
          <w:iCs w:val="false"/>
          <w:color w:val="0B0B0F"/>
          <w:sz w:val="21"/>
          <w:szCs w:val="21"/>
        </w:rPr>
        <w:t xml:space="preserve">§ 8 Laufzeit und Kündigung</w:t>
      </w:r>
    </w:p>
    <w:p>
      <w:pPr>
        <w:spacing w:after="120" w:line="276"/>
        <w:jc w:val="both"/>
      </w:pPr>
      <w:r>
        <w:rPr>
          <w:rFonts w:ascii="Arial" w:cs="Arial" w:eastAsia="Arial" w:hAnsi="Arial"/>
          <w:b w:val="false"/>
          <w:bCs w:val="false"/>
          <w:i w:val="false"/>
          <w:iCs w:val="false"/>
          <w:color w:val="1A1A1A"/>
          <w:sz w:val="21"/>
          <w:szCs w:val="21"/>
        </w:rPr>
        <w:t xml:space="preserve">Monatsmodell mit einem Monat zum Monatsende, Jahresmodell mit 12 Monaten Mindestlaufzeit und automatischer Verlängerung. Der Jahresrabatt wird bei normaler Kündigung nicht erstattet; kündigt der Kunde aber, weil ihr etwas falsch gemacht habt, bekommt er den Rest anteilig zurück. Jede Kündigung braucht Textform.</w:t>
      </w:r>
    </w:p>
    <w:p>
      <w:pPr>
        <w:pStyle w:val="Heading2"/>
        <w:keepNext/>
        <w:spacing w:after="80" w:before="160"/>
      </w:pPr>
      <w:r>
        <w:rPr>
          <w:rFonts w:ascii="Arial" w:cs="Arial" w:eastAsia="Arial" w:hAnsi="Arial"/>
          <w:b/>
          <w:bCs/>
          <w:i w:val="false"/>
          <w:iCs w:val="false"/>
          <w:color w:val="0B0B0F"/>
          <w:sz w:val="21"/>
          <w:szCs w:val="21"/>
        </w:rPr>
        <w:t xml:space="preserve">§ 9 Mitwirkungspflichten des Kunden</w:t>
      </w:r>
    </w:p>
    <w:p>
      <w:pPr>
        <w:spacing w:after="120" w:line="276"/>
        <w:jc w:val="both"/>
      </w:pPr>
      <w:r>
        <w:rPr>
          <w:rFonts w:ascii="Arial" w:cs="Arial" w:eastAsia="Arial" w:hAnsi="Arial"/>
          <w:b w:val="false"/>
          <w:bCs w:val="false"/>
          <w:i w:val="false"/>
          <w:iCs w:val="false"/>
          <w:color w:val="1A1A1A"/>
          <w:sz w:val="21"/>
          <w:szCs w:val="21"/>
        </w:rPr>
        <w:t xml:space="preserve">Der Kunde muss euch rechtzeitig alle Infos, Zugänge, Freigaben und einen entscheidungsbefugten Ansprechpartner liefern und haftet dafür, dass seine Inhalte und Kontaktlisten rechtmäßig sind. Das ist eure Absicherung, wenn ein Projekt hängt, weil der Kunde nicht liefert. Achtet darauf: Wenn der Kunde nicht mitwirkt, verschieben sich eure Fristen und ihr dürft den Mehraufwand nach Ankündigung extra berechnen.</w:t>
      </w:r>
    </w:p>
    <w:p>
      <w:pPr>
        <w:pStyle w:val="Heading2"/>
        <w:keepNext/>
        <w:spacing w:after="80" w:before="160"/>
      </w:pPr>
      <w:r>
        <w:rPr>
          <w:rFonts w:ascii="Arial" w:cs="Arial" w:eastAsia="Arial" w:hAnsi="Arial"/>
          <w:b/>
          <w:bCs/>
          <w:i w:val="false"/>
          <w:iCs w:val="false"/>
          <w:color w:val="0B0B0F"/>
          <w:sz w:val="21"/>
          <w:szCs w:val="21"/>
        </w:rPr>
        <w:t xml:space="preserve">§ 10 Nutzungsrechte</w:t>
      </w:r>
    </w:p>
    <w:p>
      <w:pPr>
        <w:spacing w:after="120" w:line="276"/>
        <w:jc w:val="both"/>
      </w:pPr>
      <w:r>
        <w:rPr>
          <w:rFonts w:ascii="Arial" w:cs="Arial" w:eastAsia="Arial" w:hAnsi="Arial"/>
          <w:b w:val="false"/>
          <w:bCs w:val="false"/>
          <w:i w:val="false"/>
          <w:iCs w:val="false"/>
          <w:color w:val="1A1A1A"/>
          <w:sz w:val="21"/>
          <w:szCs w:val="21"/>
        </w:rPr>
        <w:t xml:space="preserve">Alles, was ihr baut, bleibt euer Eigentum; der Kunde bekommt ein Nutzungsrecht für die Vertragsdauer. Ausnahme: Bei Kauflizenz und Festpreis-App erhält der Kunde ein dauerhaftes Nutzungsrecht nach Anlage E. Die Ergebnisdaten gehören inhaltlich dem Kunden.</w:t>
      </w:r>
    </w:p>
    <w:p>
      <w:pPr>
        <w:pStyle w:val="Heading2"/>
        <w:keepNext/>
        <w:spacing w:after="80" w:before="160"/>
      </w:pPr>
      <w:r>
        <w:rPr>
          <w:rFonts w:ascii="Arial" w:cs="Arial" w:eastAsia="Arial" w:hAnsi="Arial"/>
          <w:b/>
          <w:bCs/>
          <w:i w:val="false"/>
          <w:iCs w:val="false"/>
          <w:color w:val="0B0B0F"/>
          <w:sz w:val="21"/>
          <w:szCs w:val="21"/>
        </w:rPr>
        <w:t xml:space="preserve">§ 11 Betriebsinfrastruktur und Accounts</w:t>
      </w:r>
    </w:p>
    <w:p>
      <w:pPr>
        <w:spacing w:after="120" w:line="276"/>
        <w:jc w:val="both"/>
      </w:pPr>
      <w:r>
        <w:rPr>
          <w:rFonts w:ascii="Arial" w:cs="Arial" w:eastAsia="Arial" w:hAnsi="Arial"/>
          <w:b w:val="false"/>
          <w:bCs w:val="false"/>
          <w:i w:val="false"/>
          <w:iCs w:val="false"/>
          <w:color w:val="1A1A1A"/>
          <w:sz w:val="21"/>
          <w:szCs w:val="21"/>
        </w:rPr>
        <w:t xml:space="preserve">Die Accounts, API-Schlüssel, Rufnummern und Infrastruktur, mit denen ihr arbeitet, sind eure Betriebsmittel – der Kunde hat darauf keinen Herausgabeanspruch. Ihr sichert nur zu, die Daten verschiedener Kunden logisch getrennt zu halten (Details in Anlage B). Achtet darauf: Wenn der Kunde eigene Accounts will, gehören diese ihm, und ihr müsst sie am Vertragsende nach § 21 übergeben.</w:t>
      </w:r>
    </w:p>
    <w:p>
      <w:pPr>
        <w:pStyle w:val="Heading2"/>
        <w:keepNext/>
        <w:spacing w:after="80" w:before="160"/>
      </w:pPr>
      <w:r>
        <w:rPr>
          <w:rFonts w:ascii="Arial" w:cs="Arial" w:eastAsia="Arial" w:hAnsi="Arial"/>
          <w:b/>
          <w:bCs/>
          <w:i w:val="false"/>
          <w:iCs w:val="false"/>
          <w:color w:val="0B0B0F"/>
          <w:sz w:val="21"/>
          <w:szCs w:val="21"/>
        </w:rPr>
        <w:t xml:space="preserve">§ 12 Haftung</w:t>
      </w:r>
    </w:p>
    <w:p>
      <w:pPr>
        <w:spacing w:after="120" w:line="276"/>
        <w:jc w:val="both"/>
      </w:pPr>
      <w:r>
        <w:rPr>
          <w:rFonts w:ascii="Arial" w:cs="Arial" w:eastAsia="Arial" w:hAnsi="Arial"/>
          <w:b w:val="false"/>
          <w:bCs w:val="false"/>
          <w:i w:val="false"/>
          <w:iCs w:val="false"/>
          <w:color w:val="1A1A1A"/>
          <w:sz w:val="21"/>
          <w:szCs w:val="21"/>
        </w:rPr>
        <w:t xml:space="preserve">Unbeschränkt haftet ihr bei Vorsatz, grober Fahrlässigkeit, Personenschäden, Garantie und Produkthaftung. Bei einfacher Fahrlässigkeit nur für zentrale Pflichten und höchstens 25.000 EUR je Schadensfall oder die höhere Auftragssumme – ein Jahresdeckel fällt weg, weil er vorhersehbare Schäden abschneiden würde. Die Zahl steht in eckigen Klammern, bis Max sie bestätigt; neu ist außerdem der Ausschluss der Haftung ohne Verschulden für anfängliche Mängel bei gehosteten Anwendungen.</w:t>
      </w:r>
    </w:p>
    <w:p>
      <w:pPr>
        <w:pStyle w:val="Heading2"/>
        <w:keepNext/>
        <w:spacing w:after="80" w:before="160"/>
      </w:pPr>
      <w:r>
        <w:rPr>
          <w:rFonts w:ascii="Arial" w:cs="Arial" w:eastAsia="Arial" w:hAnsi="Arial"/>
          <w:b/>
          <w:bCs/>
          <w:i w:val="false"/>
          <w:iCs w:val="false"/>
          <w:color w:val="0B0B0F"/>
          <w:sz w:val="21"/>
          <w:szCs w:val="21"/>
        </w:rPr>
        <w:t xml:space="preserve">§ 13 Datenschutz und Auftragsverarbeitung</w:t>
      </w:r>
    </w:p>
    <w:p>
      <w:pPr>
        <w:spacing w:after="120" w:line="276"/>
        <w:jc w:val="both"/>
      </w:pPr>
      <w:r>
        <w:rPr>
          <w:rFonts w:ascii="Arial" w:cs="Arial" w:eastAsia="Arial" w:hAnsi="Arial"/>
          <w:b w:val="false"/>
          <w:bCs w:val="false"/>
          <w:i w:val="false"/>
          <w:iCs w:val="false"/>
          <w:color w:val="1A1A1A"/>
          <w:sz w:val="21"/>
          <w:szCs w:val="21"/>
        </w:rPr>
        <w:t xml:space="preserve">Für den Datenschutz gilt vorrangig die Anlage B (AVV), wobei der Kunde der Verantwortliche ist und ihr nur Auftragsverarbeiter seid. Das ist wichtig, weil die Hauptverantwortung für die Rechtmäßigkeit der Daten beim Kunden liegt. Achtet darauf: Behördliche Bußgelder übernehmt ihr nicht für den Kunden – jede Partei bleibt für ihren eigenen Bereich verantwortlich.</w:t>
      </w:r>
    </w:p>
    <w:p>
      <w:pPr>
        <w:pStyle w:val="Heading2"/>
        <w:keepNext/>
        <w:spacing w:after="80" w:before="160"/>
      </w:pPr>
      <w:r>
        <w:rPr>
          <w:rFonts w:ascii="Arial" w:cs="Arial" w:eastAsia="Arial" w:hAnsi="Arial"/>
          <w:b/>
          <w:bCs/>
          <w:i w:val="false"/>
          <w:iCs w:val="false"/>
          <w:color w:val="0B0B0F"/>
          <w:sz w:val="21"/>
          <w:szCs w:val="21"/>
        </w:rPr>
        <w:t xml:space="preserve">§ 14 Datenspeicherung und Transparenz</w:t>
      </w:r>
    </w:p>
    <w:p>
      <w:pPr>
        <w:spacing w:after="120" w:line="276"/>
        <w:jc w:val="both"/>
      </w:pPr>
      <w:r>
        <w:rPr>
          <w:rFonts w:ascii="Arial" w:cs="Arial" w:eastAsia="Arial" w:hAnsi="Arial"/>
          <w:b w:val="false"/>
          <w:bCs w:val="false"/>
          <w:i w:val="false"/>
          <w:iCs w:val="false"/>
          <w:color w:val="1A1A1A"/>
          <w:sz w:val="21"/>
          <w:szCs w:val="21"/>
        </w:rPr>
        <w:t xml:space="preserve">Welche Dienstleister ihr einsetzt, steht nur noch an einer Stelle: Anlage B, Anhang 2. Die Speicherregel ist jetzt geteilt: Bei Agenten speichert ihr möglichst nichts und löscht spätestens nach sechs Monaten, bei Anwendungen ist die Speicherung die Leistung selbst, mit Löschregeln aus Anhang 3. Neu ist der Hinweis, dass Kunden mit Voice, Chat oder Mailagent meist eine Datenschutz-Folgenabschätzung und dann auch einen Datenschutzbeauftragten brauchen.</w:t>
      </w:r>
    </w:p>
    <w:p>
      <w:pPr>
        <w:pStyle w:val="Heading2"/>
        <w:keepNext/>
        <w:spacing w:after="80" w:before="160"/>
      </w:pPr>
      <w:r>
        <w:rPr>
          <w:rFonts w:ascii="Arial" w:cs="Arial" w:eastAsia="Arial" w:hAnsi="Arial"/>
          <w:b/>
          <w:bCs/>
          <w:i w:val="false"/>
          <w:iCs w:val="false"/>
          <w:color w:val="0B0B0F"/>
          <w:sz w:val="21"/>
          <w:szCs w:val="21"/>
        </w:rPr>
        <w:t xml:space="preserve">§ 15 Ausgehende Anrufe und Nachrichten (UWG)</w:t>
      </w:r>
    </w:p>
    <w:p>
      <w:pPr>
        <w:spacing w:after="120" w:line="276"/>
        <w:jc w:val="both"/>
      </w:pPr>
      <w:r>
        <w:rPr>
          <w:rFonts w:ascii="Arial" w:cs="Arial" w:eastAsia="Arial" w:hAnsi="Arial"/>
          <w:b w:val="false"/>
          <w:bCs w:val="false"/>
          <w:i w:val="false"/>
          <w:iCs w:val="false"/>
          <w:color w:val="1A1A1A"/>
          <w:sz w:val="21"/>
          <w:szCs w:val="21"/>
        </w:rPr>
        <w:t xml:space="preserve">Ausgehende Anrufe gibt es nur, wenn sie gesondert beauftragt sind (technisch sind sie derzeit nicht verfügbar). Für Werbeanrufe durch einen KI-Agenten braucht der Kunde die ausdrückliche Einwilligung jedes Angerufenen, auch bei Firmen, und muss sie fünf Jahre nachweisen. Ohne Nachweis startet ihr keine Kampagne.</w:t>
      </w:r>
    </w:p>
    <w:p>
      <w:pPr>
        <w:pStyle w:val="Heading2"/>
        <w:keepNext/>
        <w:spacing w:after="80" w:before="160"/>
      </w:pPr>
      <w:r>
        <w:rPr>
          <w:rFonts w:ascii="Arial" w:cs="Arial" w:eastAsia="Arial" w:hAnsi="Arial"/>
          <w:b/>
          <w:bCs/>
          <w:i w:val="false"/>
          <w:iCs w:val="false"/>
          <w:color w:val="0B0B0F"/>
          <w:sz w:val="21"/>
          <w:szCs w:val="21"/>
        </w:rPr>
        <w:t xml:space="preserve">§ 16 Stimm- und Namensrechte, Deepfake-Kennzeichnung</w:t>
      </w:r>
    </w:p>
    <w:p>
      <w:pPr>
        <w:spacing w:after="120" w:line="276"/>
        <w:jc w:val="both"/>
      </w:pPr>
      <w:r>
        <w:rPr>
          <w:rFonts w:ascii="Arial" w:cs="Arial" w:eastAsia="Arial" w:hAnsi="Arial"/>
          <w:b w:val="false"/>
          <w:bCs w:val="false"/>
          <w:i w:val="false"/>
          <w:iCs w:val="false"/>
          <w:color w:val="1A1A1A"/>
          <w:sz w:val="21"/>
          <w:szCs w:val="21"/>
        </w:rPr>
        <w:t xml:space="preserve">Standardmäßig nutzt ihr synthetische Stimmen, an denen niemand Rechte hat. Will der Kunde eine echte Person klonen (Stimme oder Name), muss er euch eine dokumentierte Einwilligung vorlegen. Für Ansprüche aus einer vom Kunden veranlassten Stimm- oder Namensnutzung stellt er euch frei, soweit er die Rechtsverletzung zu vertreten hat.</w:t>
      </w:r>
    </w:p>
    <w:p>
      <w:pPr>
        <w:pStyle w:val="Heading2"/>
        <w:keepNext/>
        <w:spacing w:after="80" w:before="160"/>
      </w:pPr>
      <w:r>
        <w:rPr>
          <w:rFonts w:ascii="Arial" w:cs="Arial" w:eastAsia="Arial" w:hAnsi="Arial"/>
          <w:b/>
          <w:bCs/>
          <w:i w:val="false"/>
          <w:iCs w:val="false"/>
          <w:color w:val="0B0B0F"/>
          <w:sz w:val="21"/>
          <w:szCs w:val="21"/>
        </w:rPr>
        <w:t xml:space="preserve">§ 17 Rechtmäßige Nutzung, Freistellung und vorübergehende Deaktivierung</w:t>
      </w:r>
    </w:p>
    <w:p>
      <w:pPr>
        <w:spacing w:after="120" w:line="276"/>
        <w:jc w:val="both"/>
      </w:pPr>
      <w:r>
        <w:rPr>
          <w:rFonts w:ascii="Arial" w:cs="Arial" w:eastAsia="Arial" w:hAnsi="Arial"/>
          <w:b w:val="false"/>
          <w:bCs w:val="false"/>
          <w:i w:val="false"/>
          <w:iCs w:val="false"/>
          <w:color w:val="1A1A1A"/>
          <w:sz w:val="21"/>
          <w:szCs w:val="21"/>
        </w:rPr>
        <w:t xml:space="preserve">Der Kunde darf die Agenten nur legal einsetzen und muss euch von Ansprüchen Dritter freistellen, wenn er sie rechtswidrig nutzt. Bei konkreten Hinweisen auf rechtswidrige Nutzung dürft ihr den Agenten sofort vorübergehend abschalten und informiert den Kunden danach. Wichtig für euch: Ist die Abschaltung vom Kunden verschuldet, läuft seine Zahlungspflicht weiter.</w:t>
      </w:r>
    </w:p>
    <w:p>
      <w:pPr>
        <w:pStyle w:val="Heading2"/>
        <w:keepNext/>
        <w:spacing w:after="80" w:before="160"/>
      </w:pPr>
      <w:r>
        <w:rPr>
          <w:rFonts w:ascii="Arial" w:cs="Arial" w:eastAsia="Arial" w:hAnsi="Arial"/>
          <w:b/>
          <w:bCs/>
          <w:i w:val="false"/>
          <w:iCs w:val="false"/>
          <w:color w:val="0B0B0F"/>
          <w:sz w:val="21"/>
          <w:szCs w:val="21"/>
        </w:rPr>
        <w:t xml:space="preserve">§ 18 Vertraulichkeit</w:t>
      </w:r>
    </w:p>
    <w:p>
      <w:pPr>
        <w:spacing w:after="120" w:line="276"/>
        <w:jc w:val="both"/>
      </w:pPr>
      <w:r>
        <w:rPr>
          <w:rFonts w:ascii="Arial" w:cs="Arial" w:eastAsia="Arial" w:hAnsi="Arial"/>
          <w:b w:val="false"/>
          <w:bCs w:val="false"/>
          <w:i w:val="false"/>
          <w:iCs w:val="false"/>
          <w:color w:val="1A1A1A"/>
          <w:sz w:val="21"/>
          <w:szCs w:val="21"/>
        </w:rPr>
        <w:t xml:space="preserve">Beide Seiten müssen vertrauliche Informationen der anderen geheim halten und nur für den Vertrag nutzen. Das gilt nicht für öffentlich bekannte Infos oder wenn ein Gesetz die Offenlegung verlangt. Achtet darauf: Diese Geheimhaltung gilt auch noch 3 Jahre nach Vertragsende weiter.</w:t>
      </w:r>
    </w:p>
    <w:p>
      <w:pPr>
        <w:pStyle w:val="Heading2"/>
        <w:keepNext/>
        <w:spacing w:after="80" w:before="160"/>
      </w:pPr>
      <w:r>
        <w:rPr>
          <w:rFonts w:ascii="Arial" w:cs="Arial" w:eastAsia="Arial" w:hAnsi="Arial"/>
          <w:b/>
          <w:bCs/>
          <w:i w:val="false"/>
          <w:iCs w:val="false"/>
          <w:color w:val="0B0B0F"/>
          <w:sz w:val="21"/>
          <w:szCs w:val="21"/>
        </w:rPr>
        <w:t xml:space="preserve">§ 19 Referenznutzung</w:t>
      </w:r>
    </w:p>
    <w:p>
      <w:pPr>
        <w:spacing w:after="120" w:line="276"/>
        <w:jc w:val="both"/>
      </w:pPr>
      <w:r>
        <w:rPr>
          <w:rFonts w:ascii="Arial" w:cs="Arial" w:eastAsia="Arial" w:hAnsi="Arial"/>
          <w:b w:val="false"/>
          <w:bCs w:val="false"/>
          <w:i w:val="false"/>
          <w:iCs w:val="false"/>
          <w:color w:val="1A1A1A"/>
          <w:sz w:val="21"/>
          <w:szCs w:val="21"/>
        </w:rPr>
        <w:t xml:space="preserve">Ihr dürft den Kunden nur dann mit Name und Logo als Referenz auf eurer Website nennen, wenn er hier aktiv zustimmt (Opt-in-Kästchen). Ohne angekreuztes Kästchen dürft ihr ihn nicht als Referenz zeigen. Achtet darauf: Der Kunde kann diese Zustimmung jederzeit für die Zukunft widerrufen – fragt also aktiv nach dem Häkchen, wenn ihr die Referenz haben wollt.</w:t>
      </w:r>
    </w:p>
    <w:p>
      <w:pPr>
        <w:pStyle w:val="Heading2"/>
        <w:keepNext/>
        <w:spacing w:after="80" w:before="160"/>
      </w:pPr>
      <w:r>
        <w:rPr>
          <w:rFonts w:ascii="Arial" w:cs="Arial" w:eastAsia="Arial" w:hAnsi="Arial"/>
          <w:b/>
          <w:bCs/>
          <w:i w:val="false"/>
          <w:iCs w:val="false"/>
          <w:color w:val="0B0B0F"/>
          <w:sz w:val="21"/>
          <w:szCs w:val="21"/>
        </w:rPr>
        <w:t xml:space="preserve">§ 20 Drittanbieter und Drittdienste</w:t>
      </w:r>
    </w:p>
    <w:p>
      <w:pPr>
        <w:spacing w:after="120" w:line="276"/>
        <w:jc w:val="both"/>
      </w:pPr>
      <w:r>
        <w:rPr>
          <w:rFonts w:ascii="Arial" w:cs="Arial" w:eastAsia="Arial" w:hAnsi="Arial"/>
          <w:b w:val="false"/>
          <w:bCs w:val="false"/>
          <w:i w:val="false"/>
          <w:iCs w:val="false"/>
          <w:color w:val="1A1A1A"/>
          <w:sz w:val="21"/>
          <w:szCs w:val="21"/>
        </w:rPr>
        <w:t xml:space="preserve">Ihr setzt die Dienstleister aus Anlage B, Anhang 2 ein. Für sie haftet ihr wie für eigenes Verschulden – das sagt das Gesetz (§ 278 BGB), eine engere Klausel wäre unwirksam gewesen. Ausfälle öffentlicher Netze, die ihr nicht beherrscht, habt ihr nicht zu vertreten.</w:t>
      </w:r>
    </w:p>
    <w:p>
      <w:pPr>
        <w:pStyle w:val="Heading2"/>
        <w:keepNext/>
        <w:spacing w:after="80" w:before="160"/>
      </w:pPr>
      <w:r>
        <w:rPr>
          <w:rFonts w:ascii="Arial" w:cs="Arial" w:eastAsia="Arial" w:hAnsi="Arial"/>
          <w:b/>
          <w:bCs/>
          <w:i w:val="false"/>
          <w:iCs w:val="false"/>
          <w:color w:val="0B0B0F"/>
          <w:sz w:val="21"/>
          <w:szCs w:val="21"/>
        </w:rPr>
        <w:t xml:space="preserve">§ 21 Vertragsende und Offboarding</w:t>
      </w:r>
    </w:p>
    <w:p>
      <w:pPr>
        <w:spacing w:after="120" w:line="276"/>
        <w:jc w:val="both"/>
      </w:pPr>
      <w:r>
        <w:rPr>
          <w:rFonts w:ascii="Arial" w:cs="Arial" w:eastAsia="Arial" w:hAnsi="Arial"/>
          <w:b w:val="false"/>
          <w:bCs w:val="false"/>
          <w:i w:val="false"/>
          <w:iCs w:val="false"/>
          <w:color w:val="1A1A1A"/>
          <w:sz w:val="21"/>
          <w:szCs w:val="21"/>
        </w:rPr>
        <w:t xml:space="preserve">Nach Vertragsende bekommt der Kunde 30 Tage lang einen Export, auch seine Dateien und Belege im Original, und danach löscht ihr und schickt unaufgefordert eine Löschbestätigung. Rufnummern portiert ihr zurück. Bei der Kauflizenz liegen die Daten ohnehin beim Kunden; ihr gebt nur den Wartungszugang zurück.</w:t>
      </w:r>
    </w:p>
    <w:p>
      <w:pPr>
        <w:pStyle w:val="Heading2"/>
        <w:keepNext/>
        <w:spacing w:after="80" w:before="160"/>
      </w:pPr>
      <w:r>
        <w:rPr>
          <w:rFonts w:ascii="Arial" w:cs="Arial" w:eastAsia="Arial" w:hAnsi="Arial"/>
          <w:b/>
          <w:bCs/>
          <w:i w:val="false"/>
          <w:iCs w:val="false"/>
          <w:color w:val="0B0B0F"/>
          <w:sz w:val="21"/>
          <w:szCs w:val="21"/>
        </w:rPr>
        <w:t xml:space="preserve">§ 22 Höhere Gewalt</w:t>
      </w:r>
    </w:p>
    <w:p>
      <w:pPr>
        <w:spacing w:after="120" w:line="276"/>
        <w:jc w:val="both"/>
      </w:pPr>
      <w:r>
        <w:rPr>
          <w:rFonts w:ascii="Arial" w:cs="Arial" w:eastAsia="Arial" w:hAnsi="Arial"/>
          <w:b w:val="false"/>
          <w:bCs w:val="false"/>
          <w:i w:val="false"/>
          <w:iCs w:val="false"/>
          <w:color w:val="1A1A1A"/>
          <w:sz w:val="21"/>
          <w:szCs w:val="21"/>
        </w:rPr>
        <w:t xml:space="preserve">Bei echter höherer Gewalt haftet keine Seite; Leistung und Zahlung ruhen, nach 30 Tagen darf jede Seite kündigen. Cyberangriffe und Dienstleister-Ausfälle zählen nur dann, wenn ihr sie trotz eurer Schutzmaßnahmen und sorgfältiger Auswahl nicht verhindern konntet – ein leeres Guthaben ist nie höhere Gewalt.</w:t>
      </w:r>
    </w:p>
    <w:p>
      <w:pPr>
        <w:pStyle w:val="Heading2"/>
        <w:keepNext/>
        <w:spacing w:after="80" w:before="160"/>
      </w:pPr>
      <w:r>
        <w:rPr>
          <w:rFonts w:ascii="Arial" w:cs="Arial" w:eastAsia="Arial" w:hAnsi="Arial"/>
          <w:b/>
          <w:bCs/>
          <w:i w:val="false"/>
          <w:iCs w:val="false"/>
          <w:color w:val="0B0B0F"/>
          <w:sz w:val="21"/>
          <w:szCs w:val="21"/>
        </w:rPr>
        <w:t xml:space="preserve">§ 23 Verfügbarkeit</w:t>
      </w:r>
    </w:p>
    <w:p>
      <w:pPr>
        <w:spacing w:after="120" w:line="276"/>
        <w:jc w:val="both"/>
      </w:pPr>
      <w:r>
        <w:rPr>
          <w:rFonts w:ascii="Arial" w:cs="Arial" w:eastAsia="Arial" w:hAnsi="Arial"/>
          <w:b w:val="false"/>
          <w:bCs w:val="false"/>
          <w:i w:val="false"/>
          <w:iCs w:val="false"/>
          <w:color w:val="1A1A1A"/>
          <w:sz w:val="21"/>
          <w:szCs w:val="21"/>
        </w:rPr>
        <w:t xml:space="preserve">Neu: Für gehostete Anwendungen und eure Vermittlungsschicht sagt ihr eine feste Verfügbarkeit zu (98 % im Monat, Anlage C Ziffer 7). Wird sie verfehlt, mindert sich der Beitrag pauschal. Für die Verarbeitung durch Drittdienste und für Kauflizenzen gibt es keine Zusage.</w:t>
      </w:r>
    </w:p>
    <w:p>
      <w:pPr>
        <w:pStyle w:val="Heading2"/>
        <w:keepNext/>
        <w:spacing w:after="80" w:before="160"/>
      </w:pPr>
      <w:r>
        <w:rPr>
          <w:rFonts w:ascii="Arial" w:cs="Arial" w:eastAsia="Arial" w:hAnsi="Arial"/>
          <w:b/>
          <w:bCs/>
          <w:i w:val="false"/>
          <w:iCs w:val="false"/>
          <w:color w:val="0B0B0F"/>
          <w:sz w:val="21"/>
          <w:szCs w:val="21"/>
        </w:rPr>
        <w:t xml:space="preserve">§ 24 Schlussbestimmungen</w:t>
      </w:r>
    </w:p>
    <w:p>
      <w:pPr>
        <w:spacing w:after="120" w:line="276"/>
        <w:jc w:val="both"/>
      </w:pPr>
      <w:r>
        <w:rPr>
          <w:rFonts w:ascii="Arial" w:cs="Arial" w:eastAsia="Arial" w:hAnsi="Arial"/>
          <w:b w:val="false"/>
          <w:bCs w:val="false"/>
          <w:i w:val="false"/>
          <w:iCs w:val="false"/>
          <w:color w:val="1A1A1A"/>
          <w:sz w:val="21"/>
          <w:szCs w:val="21"/>
        </w:rPr>
        <w:t xml:space="preserve">Textform für Kündigungen, Vorrang individueller Absprachen, keine Einkaufsbedingungen des Kunden, deutsches Recht. Gerichtsstand an eurem Sitz gibt es nur, wenn beide Seiten Kaufleute sind – solange ihr eine GbR ohne Handelsregister seid, greift das meist nicht. Ist eine Klausel unwirksam, gilt das Gesetz.</w:t>
      </w:r>
    </w:p>
    <w:p>
      <w:pPr>
        <w:pStyle w:val="Heading2"/>
        <w:keepNext/>
        <w:spacing w:after="80" w:before="160"/>
      </w:pPr>
      <w:r>
        <w:rPr>
          <w:rFonts w:ascii="Arial" w:cs="Arial" w:eastAsia="Arial" w:hAnsi="Arial"/>
          <w:b/>
          <w:bCs/>
          <w:i w:val="false"/>
          <w:iCs w:val="false"/>
          <w:color w:val="0B0B0F"/>
          <w:sz w:val="21"/>
          <w:szCs w:val="21"/>
        </w:rPr>
        <w:t xml:space="preserve">Hinweis, Unterschriften und Ausfüllfelder</w:t>
      </w:r>
    </w:p>
    <w:p>
      <w:pPr>
        <w:spacing w:after="120" w:line="276"/>
        <w:jc w:val="both"/>
      </w:pPr>
      <w:r>
        <w:rPr>
          <w:rFonts w:ascii="Arial" w:cs="Arial" w:eastAsia="Arial" w:hAnsi="Arial"/>
          <w:b w:val="false"/>
          <w:bCs w:val="false"/>
          <w:i w:val="false"/>
          <w:iCs w:val="false"/>
          <w:color w:val="1A1A1A"/>
          <w:sz w:val="21"/>
          <w:szCs w:val="21"/>
        </w:rPr>
        <w:t xml:space="preserve">Am Ende steht ehrlich: Entwurf, von NexAI erstellt, anwaltliche Prüfung folgt. Danach unterschreiben Max, Jason und der Kunde. Vorher müssen die eckigen Klammern (Haftungssumme, Auftragssumme) entschieden sein.</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02 · Auftragsformular / Leistungsschein</w:t>
      </w:r>
    </w:p>
    <w:p>
      <w:pPr>
        <w:spacing w:after="120" w:line="276"/>
        <w:jc w:val="both"/>
      </w:pPr>
      <w:r>
        <w:rPr>
          <w:rFonts w:ascii="Arial" w:cs="Arial" w:eastAsia="Arial" w:hAnsi="Arial"/>
          <w:b w:val="false"/>
          <w:bCs w:val="false"/>
          <w:i w:val="false"/>
          <w:iCs w:val="false"/>
          <w:color w:val="1A1A1A"/>
          <w:sz w:val="21"/>
          <w:szCs w:val="21"/>
        </w:rPr>
        <w:t xml:space="preserve">Dieses Dokument ist das konkrete Bestellformular: Hier tragt ihr mit dem Kunden ein, welche Agenten er genau bucht, was das kostet und unter welchen Bedingungen — als Ergänzung zum großen Rahmenvertrag.</w:t>
      </w:r>
    </w:p>
    <w:p>
      <w:pPr>
        <w:pStyle w:val="Heading2"/>
        <w:keepNext/>
        <w:spacing w:after="80" w:before="160"/>
      </w:pPr>
      <w:r>
        <w:rPr>
          <w:rFonts w:ascii="Arial" w:cs="Arial" w:eastAsia="Arial" w:hAnsi="Arial"/>
          <w:b/>
          <w:bCs/>
          <w:i w:val="false"/>
          <w:iCs w:val="false"/>
          <w:color w:val="0B0B0F"/>
          <w:sz w:val="21"/>
          <w:szCs w:val="21"/>
        </w:rPr>
        <w:t xml:space="preserve">Einleitung: Was dieser Leistungsschein ist</w:t>
      </w:r>
    </w:p>
    <w:p>
      <w:pPr>
        <w:spacing w:after="120" w:line="276"/>
        <w:jc w:val="both"/>
      </w:pPr>
      <w:r>
        <w:rPr>
          <w:rFonts w:ascii="Arial" w:cs="Arial" w:eastAsia="Arial" w:hAnsi="Arial"/>
          <w:b w:val="false"/>
          <w:bCs w:val="false"/>
          <w:i w:val="false"/>
          <w:iCs w:val="false"/>
          <w:color w:val="1A1A1A"/>
          <w:sz w:val="21"/>
          <w:szCs w:val="21"/>
        </w:rPr>
        <w:t xml:space="preserve">Das Formular hält fest, was der Kunde konkret bucht, und ist Teil des Vertrags. Die Selbstbezeichnung „Individualabrede“ ist raus, weil der vorgedruckte Text trotzdem AGB bleibt. Was ihr individuell eintragt, geht aber allem anderen vor.</w:t>
      </w:r>
    </w:p>
    <w:p>
      <w:pPr>
        <w:pStyle w:val="Heading2"/>
        <w:keepNext/>
        <w:spacing w:after="80" w:before="160"/>
      </w:pPr>
      <w:r>
        <w:rPr>
          <w:rFonts w:ascii="Arial" w:cs="Arial" w:eastAsia="Arial" w:hAnsi="Arial"/>
          <w:b/>
          <w:bCs/>
          <w:i w:val="false"/>
          <w:iCs w:val="false"/>
          <w:color w:val="0B0B0F"/>
          <w:sz w:val="21"/>
          <w:szCs w:val="21"/>
        </w:rPr>
        <w:t xml:space="preserve">Vertragsparteien</w:t>
      </w:r>
    </w:p>
    <w:p>
      <w:pPr>
        <w:spacing w:after="120" w:line="276"/>
        <w:jc w:val="both"/>
      </w:pPr>
      <w:r>
        <w:rPr>
          <w:rFonts w:ascii="Arial" w:cs="Arial" w:eastAsia="Arial" w:hAnsi="Arial"/>
          <w:b w:val="false"/>
          <w:bCs w:val="false"/>
          <w:i w:val="false"/>
          <w:iCs w:val="false"/>
          <w:color w:val="1A1A1A"/>
          <w:sz w:val="21"/>
          <w:szCs w:val="21"/>
        </w:rPr>
        <w:t xml:space="preserve">Hier stehen eure Firmendaten (NexAI GbR, beide Gründer, Kontakt) fest drin, und der Kunde füllt seine Daten aus. Praktisch tragt ihr also nur einmal eure Seite ein, der Kunde füllt Firma, Anschrift, Ansprechpartner, USt-IdNr. usw. aus. Wichtig ist die Bestätigung, dass der Kunde Unternehmer ist (B2B) — nur so gelten die strengeren AGB und der Verbraucherschutz greift nicht.</w:t>
      </w:r>
    </w:p>
    <w:p>
      <w:pPr>
        <w:pStyle w:val="Heading2"/>
        <w:keepNext/>
        <w:spacing w:after="80" w:before="160"/>
      </w:pPr>
      <w:r>
        <w:rPr>
          <w:rFonts w:ascii="Arial" w:cs="Arial" w:eastAsia="Arial" w:hAnsi="Arial"/>
          <w:b/>
          <w:bCs/>
          <w:i w:val="false"/>
          <w:iCs w:val="false"/>
          <w:color w:val="0B0B0F"/>
          <w:sz w:val="21"/>
          <w:szCs w:val="21"/>
        </w:rPr>
        <w:t xml:space="preserve">Bezug zum Rahmenvertrag</w:t>
      </w:r>
    </w:p>
    <w:p>
      <w:pPr>
        <w:spacing w:after="120" w:line="276"/>
        <w:jc w:val="both"/>
      </w:pPr>
      <w:r>
        <w:rPr>
          <w:rFonts w:ascii="Arial" w:cs="Arial" w:eastAsia="Arial" w:hAnsi="Arial"/>
          <w:b w:val="false"/>
          <w:bCs w:val="false"/>
          <w:i w:val="false"/>
          <w:iCs w:val="false"/>
          <w:color w:val="1A1A1A"/>
          <w:sz w:val="21"/>
          <w:szCs w:val="21"/>
        </w:rPr>
        <w:t xml:space="preserve">Der Kunde bestätigt, dass ihm Rahmenvertrag, AGB und die Anlagen A bis D vorliegen, bei Kauflizenz oder Festpreis-App auch Anlage E. Tragt Datum und Version des Rahmenvertrags ein.</w:t>
      </w:r>
    </w:p>
    <w:p>
      <w:pPr>
        <w:pStyle w:val="Heading2"/>
        <w:keepNext/>
        <w:spacing w:after="80" w:before="160"/>
      </w:pPr>
      <w:r>
        <w:rPr>
          <w:rFonts w:ascii="Arial" w:cs="Arial" w:eastAsia="Arial" w:hAnsi="Arial"/>
          <w:b/>
          <w:bCs/>
          <w:i w:val="false"/>
          <w:iCs w:val="false"/>
          <w:color w:val="0B0B0F"/>
          <w:sz w:val="21"/>
          <w:szCs w:val="21"/>
        </w:rPr>
        <w:t xml:space="preserve">Beauftragte Leistungen</w:t>
      </w:r>
    </w:p>
    <w:p>
      <w:pPr>
        <w:spacing w:after="120" w:line="276"/>
        <w:jc w:val="both"/>
      </w:pPr>
      <w:r>
        <w:rPr>
          <w:rFonts w:ascii="Arial" w:cs="Arial" w:eastAsia="Arial" w:hAnsi="Arial"/>
          <w:b w:val="false"/>
          <w:bCs w:val="false"/>
          <w:i w:val="false"/>
          <w:iCs w:val="false"/>
          <w:color w:val="1A1A1A"/>
          <w:sz w:val="21"/>
          <w:szCs w:val="21"/>
        </w:rPr>
        <w:t xml:space="preserve">Hier wird angekreuzt, was gebucht ist. Neu: der Mailagent mit eigener Ziffer 3.3 (Postfächer, Zugänge, Aufbewahrungsfristen, Kostendeckel, selbsttätiger Versand nur mit eigenem Kreuz) und Ziffer 3.4 für Kauflizenz und Festpreis-App mit dem Enddatum der Sicherheitsupdates (Monat/Jahr). Der Voice Agent ist nur für eingehende Gespräche angekreuzt, ausgehend ist derzeit nicht lieferbar.</w:t>
      </w:r>
    </w:p>
    <w:p>
      <w:pPr>
        <w:pStyle w:val="Heading2"/>
        <w:keepNext/>
        <w:spacing w:after="80" w:before="160"/>
      </w:pPr>
      <w:r>
        <w:rPr>
          <w:rFonts w:ascii="Arial" w:cs="Arial" w:eastAsia="Arial" w:hAnsi="Arial"/>
          <w:b/>
          <w:bCs/>
          <w:i w:val="false"/>
          <w:iCs w:val="false"/>
          <w:color w:val="0B0B0F"/>
          <w:sz w:val="21"/>
          <w:szCs w:val="21"/>
        </w:rPr>
        <w:t xml:space="preserve">Einsatzzweck und KI-VO-Einstufung je Agent</w:t>
      </w:r>
    </w:p>
    <w:p>
      <w:pPr>
        <w:spacing w:after="120" w:line="276"/>
        <w:jc w:val="both"/>
      </w:pPr>
      <w:r>
        <w:rPr>
          <w:rFonts w:ascii="Arial" w:cs="Arial" w:eastAsia="Arial" w:hAnsi="Arial"/>
          <w:b w:val="false"/>
          <w:bCs w:val="false"/>
          <w:i w:val="false"/>
          <w:iCs w:val="false"/>
          <w:color w:val="1A1A1A"/>
          <w:sz w:val="21"/>
          <w:szCs w:val="21"/>
        </w:rPr>
        <w:t xml:space="preserve">Für jeden Agenten und den Mailagenten wird der Einsatzzweck eingetragen, und der Kunde bestätigt: kein Hochrisiko-Einsatz. Ihr seid Anbieter, der Kunde Betreiber; ihr setzt die Kennzeichnungspflichten um, der Kunde sorgt für die KI-Kompetenz seiner Leute. Beim Mailagenten ist ausdrücklich ausgeschlossen, damit Beschäftigte zu überwachen.</w:t>
      </w:r>
    </w:p>
    <w:p>
      <w:pPr>
        <w:pStyle w:val="Heading2"/>
        <w:keepNext/>
        <w:spacing w:after="80" w:before="160"/>
      </w:pPr>
      <w:r>
        <w:rPr>
          <w:rFonts w:ascii="Arial" w:cs="Arial" w:eastAsia="Arial" w:hAnsi="Arial"/>
          <w:b/>
          <w:bCs/>
          <w:i w:val="false"/>
          <w:iCs w:val="false"/>
          <w:color w:val="0B0B0F"/>
          <w:sz w:val="21"/>
          <w:szCs w:val="21"/>
        </w:rPr>
        <w:t xml:space="preserve">Vergütung</w:t>
      </w:r>
    </w:p>
    <w:p>
      <w:pPr>
        <w:spacing w:after="120" w:line="276"/>
        <w:jc w:val="both"/>
      </w:pPr>
      <w:r>
        <w:rPr>
          <w:rFonts w:ascii="Arial" w:cs="Arial" w:eastAsia="Arial" w:hAnsi="Arial"/>
          <w:b w:val="false"/>
          <w:bCs w:val="false"/>
          <w:i w:val="false"/>
          <w:iCs w:val="false"/>
          <w:color w:val="1A1A1A"/>
          <w:sz w:val="21"/>
          <w:szCs w:val="21"/>
        </w:rPr>
        <w:t xml:space="preserve">Einrichtungsgebühr nur als eingetragene einmalige Position, sonst Monats- oder Jahresbeitrag; Kauflizenz und Festpreis-App stehen in Ziffer 3.4. Alle Preise netto plus Mehrwertsteuer.</w:t>
      </w:r>
    </w:p>
    <w:p>
      <w:pPr>
        <w:pStyle w:val="Heading2"/>
        <w:keepNext/>
        <w:spacing w:after="80" w:before="160"/>
      </w:pPr>
      <w:r>
        <w:rPr>
          <w:rFonts w:ascii="Arial" w:cs="Arial" w:eastAsia="Arial" w:hAnsi="Arial"/>
          <w:b/>
          <w:bCs/>
          <w:i w:val="false"/>
          <w:iCs w:val="false"/>
          <w:color w:val="0B0B0F"/>
          <w:sz w:val="21"/>
          <w:szCs w:val="21"/>
        </w:rPr>
        <w:t xml:space="preserve">Freikontingent und Mehrverbrauch (Overage)</w:t>
      </w:r>
    </w:p>
    <w:p>
      <w:pPr>
        <w:spacing w:after="120" w:line="276"/>
        <w:jc w:val="both"/>
      </w:pPr>
      <w:r>
        <w:rPr>
          <w:rFonts w:ascii="Arial" w:cs="Arial" w:eastAsia="Arial" w:hAnsi="Arial"/>
          <w:b w:val="false"/>
          <w:bCs w:val="false"/>
          <w:i w:val="false"/>
          <w:iCs w:val="false"/>
          <w:color w:val="1A1A1A"/>
          <w:sz w:val="21"/>
          <w:szCs w:val="21"/>
        </w:rPr>
        <w:t xml:space="preserve">Pro Agent gibt es ein Freikontingent, darüber Mehrverbrauch zum eingetragenen Preis. Neu ist das Feld für die Schwelle, ab der ihr Mehrverbrauch zwischendurch abrechnet, und die Regel zum Modellverbrauch des Mailagenten (20 EUR inklusive, darüber plus 20 %).</w:t>
      </w:r>
    </w:p>
    <w:p>
      <w:pPr>
        <w:pStyle w:val="Heading2"/>
        <w:keepNext/>
        <w:spacing w:after="80" w:before="160"/>
      </w:pPr>
      <w:r>
        <w:rPr>
          <w:rFonts w:ascii="Arial" w:cs="Arial" w:eastAsia="Arial" w:hAnsi="Arial"/>
          <w:b/>
          <w:bCs/>
          <w:i w:val="false"/>
          <w:iCs w:val="false"/>
          <w:color w:val="0B0B0F"/>
          <w:sz w:val="21"/>
          <w:szCs w:val="21"/>
        </w:rPr>
        <w:t xml:space="preserve">Technisches EUR-Spend-Cap je Agent</w:t>
      </w:r>
    </w:p>
    <w:p>
      <w:pPr>
        <w:spacing w:after="120" w:line="276"/>
        <w:jc w:val="both"/>
      </w:pPr>
      <w:r>
        <w:rPr>
          <w:rFonts w:ascii="Arial" w:cs="Arial" w:eastAsia="Arial" w:hAnsi="Arial"/>
          <w:b w:val="false"/>
          <w:bCs w:val="false"/>
          <w:i w:val="false"/>
          <w:iCs w:val="false"/>
          <w:color w:val="1A1A1A"/>
          <w:sz w:val="21"/>
          <w:szCs w:val="21"/>
        </w:rPr>
        <w:t xml:space="preserve">Pro Agent wird ein Ausgabenlimit eingetragen; ist keins eingetragen, gilt das [Doppelte] des Monatsbeitrags. Anheben nur auf dokumentierte Weisung des Kunden.</w:t>
      </w:r>
    </w:p>
    <w:p>
      <w:pPr>
        <w:pStyle w:val="Heading2"/>
        <w:keepNext/>
        <w:spacing w:after="80" w:before="160"/>
      </w:pPr>
      <w:r>
        <w:rPr>
          <w:rFonts w:ascii="Arial" w:cs="Arial" w:eastAsia="Arial" w:hAnsi="Arial"/>
          <w:b/>
          <w:bCs/>
          <w:i w:val="false"/>
          <w:iCs w:val="false"/>
          <w:color w:val="0B0B0F"/>
          <w:sz w:val="21"/>
          <w:szCs w:val="21"/>
        </w:rPr>
        <w:t xml:space="preserve">Zahlungsweise</w:t>
      </w:r>
    </w:p>
    <w:p>
      <w:pPr>
        <w:spacing w:after="120" w:line="276"/>
        <w:jc w:val="both"/>
      </w:pPr>
      <w:r>
        <w:rPr>
          <w:rFonts w:ascii="Arial" w:cs="Arial" w:eastAsia="Arial" w:hAnsi="Arial"/>
          <w:b w:val="false"/>
          <w:bCs w:val="false"/>
          <w:i w:val="false"/>
          <w:iCs w:val="false"/>
          <w:color w:val="1A1A1A"/>
          <w:sz w:val="21"/>
          <w:szCs w:val="21"/>
        </w:rPr>
        <w:t xml:space="preserve">Hier wird angekreuzt, ob der Kunde per SEPA-Firmenlastschrift oder per Überweisung zahlt. Für euren Cashflow ist die Lastschrift meist die bessere Wahl, weil ihr das Geld selbst einzieht. Bei Lastschrift braucht ihr zusätzlich ein separates Mandat, bei Überweisung achtet auf die Zahlungsfrist aus dem Rahmenvertrag.</w:t>
      </w:r>
    </w:p>
    <w:p>
      <w:pPr>
        <w:pStyle w:val="Heading2"/>
        <w:keepNext/>
        <w:spacing w:after="80" w:before="160"/>
      </w:pPr>
      <w:r>
        <w:rPr>
          <w:rFonts w:ascii="Arial" w:cs="Arial" w:eastAsia="Arial" w:hAnsi="Arial"/>
          <w:b/>
          <w:bCs/>
          <w:i w:val="false"/>
          <w:iCs w:val="false"/>
          <w:color w:val="0B0B0F"/>
          <w:sz w:val="21"/>
          <w:szCs w:val="21"/>
        </w:rPr>
        <w:t xml:space="preserve">Laufzeitmodell</w:t>
      </w:r>
    </w:p>
    <w:p>
      <w:pPr>
        <w:spacing w:after="120" w:line="276"/>
        <w:jc w:val="both"/>
      </w:pPr>
      <w:r>
        <w:rPr>
          <w:rFonts w:ascii="Arial" w:cs="Arial" w:eastAsia="Arial" w:hAnsi="Arial"/>
          <w:b w:val="false"/>
          <w:bCs w:val="false"/>
          <w:i w:val="false"/>
          <w:iCs w:val="false"/>
          <w:color w:val="1A1A1A"/>
          <w:sz w:val="21"/>
          <w:szCs w:val="21"/>
        </w:rPr>
        <w:t xml:space="preserve">Monatsmodell oder Jahresmodell; beim Jahresmodell keine anteilige Erstattung bei normaler Kündigung, wohl aber, wenn der Kunde wegen eines Fehlers von euch kündigt. Genau ein Kreuz setzen.</w:t>
      </w:r>
    </w:p>
    <w:p>
      <w:pPr>
        <w:pStyle w:val="Heading2"/>
        <w:keepNext/>
        <w:spacing w:after="80" w:before="160"/>
      </w:pPr>
      <w:r>
        <w:rPr>
          <w:rFonts w:ascii="Arial" w:cs="Arial" w:eastAsia="Arial" w:hAnsi="Arial"/>
          <w:b/>
          <w:bCs/>
          <w:i w:val="false"/>
          <w:iCs w:val="false"/>
          <w:color w:val="0B0B0F"/>
          <w:sz w:val="21"/>
          <w:szCs w:val="21"/>
        </w:rPr>
        <w:t xml:space="preserve">Befugnisse der Agenten</w:t>
      </w:r>
    </w:p>
    <w:p>
      <w:pPr>
        <w:spacing w:after="120" w:line="276"/>
        <w:jc w:val="both"/>
      </w:pPr>
      <w:r>
        <w:rPr>
          <w:rFonts w:ascii="Arial" w:cs="Arial" w:eastAsia="Arial" w:hAnsi="Arial"/>
          <w:b w:val="false"/>
          <w:bCs w:val="false"/>
          <w:i w:val="false"/>
          <w:iCs w:val="false"/>
          <w:color w:val="1A1A1A"/>
          <w:sz w:val="21"/>
          <w:szCs w:val="21"/>
        </w:rPr>
        <w:t xml:space="preserve">Der Kunde bestätigt, dass die Agenten keine Preis-, Bestell- oder Vertragszusagen machen und nur Auskunft geben und Termine innerhalb der hinterlegten Zeiten vereinbaren.</w:t>
      </w:r>
    </w:p>
    <w:p>
      <w:pPr>
        <w:pStyle w:val="Heading2"/>
        <w:keepNext/>
        <w:spacing w:after="80" w:before="160"/>
      </w:pPr>
      <w:r>
        <w:rPr>
          <w:rFonts w:ascii="Arial" w:cs="Arial" w:eastAsia="Arial" w:hAnsi="Arial"/>
          <w:b/>
          <w:bCs/>
          <w:i w:val="false"/>
          <w:iCs w:val="false"/>
          <w:color w:val="0B0B0F"/>
          <w:sz w:val="21"/>
          <w:szCs w:val="21"/>
        </w:rPr>
        <w:t xml:space="preserve">KI-Transparenz und Aufzeichnung</w:t>
      </w:r>
    </w:p>
    <w:p>
      <w:pPr>
        <w:spacing w:after="120" w:line="276"/>
        <w:jc w:val="both"/>
      </w:pPr>
      <w:r>
        <w:rPr>
          <w:rFonts w:ascii="Arial" w:cs="Arial" w:eastAsia="Arial" w:hAnsi="Arial"/>
          <w:b w:val="false"/>
          <w:bCs w:val="false"/>
          <w:i w:val="false"/>
          <w:iCs w:val="false"/>
          <w:color w:val="1A1A1A"/>
          <w:sz w:val="21"/>
          <w:szCs w:val="21"/>
        </w:rPr>
        <w:t xml:space="preserve">Der KI-Hinweis ist Pflicht und nicht abschaltbar; beim Mailagenten gilt die eigene Regel in Anlage A. Tonaufzeichnung und dauerhafte Mitschriften sind standardmäßig aus und nur auf Weisung an.</w:t>
      </w:r>
    </w:p>
    <w:p>
      <w:pPr>
        <w:pStyle w:val="Heading2"/>
        <w:keepNext/>
        <w:spacing w:after="80" w:before="160"/>
      </w:pPr>
      <w:r>
        <w:rPr>
          <w:rFonts w:ascii="Arial" w:cs="Arial" w:eastAsia="Arial" w:hAnsi="Arial"/>
          <w:b/>
          <w:bCs/>
          <w:i w:val="false"/>
          <w:iCs w:val="false"/>
          <w:color w:val="0B0B0F"/>
          <w:sz w:val="21"/>
          <w:szCs w:val="21"/>
        </w:rPr>
        <w:t xml:space="preserve">Rufnummern</w:t>
      </w:r>
    </w:p>
    <w:p>
      <w:pPr>
        <w:spacing w:after="120" w:line="276"/>
        <w:jc w:val="both"/>
      </w:pPr>
      <w:r>
        <w:rPr>
          <w:rFonts w:ascii="Arial" w:cs="Arial" w:eastAsia="Arial" w:hAnsi="Arial"/>
          <w:b w:val="false"/>
          <w:bCs w:val="false"/>
          <w:i w:val="false"/>
          <w:iCs w:val="false"/>
          <w:color w:val="1A1A1A"/>
          <w:sz w:val="21"/>
          <w:szCs w:val="21"/>
        </w:rPr>
        <w:t xml:space="preserve">Hier wird geklärt, ob die Telefonnummern vom Kunden kommen oder von euch gestellt werden. Wichtiger Punkt: Wenn ihr die Nummer stellt, gehört sie euch als Betriebsmittel — der Kunde bekommt sie nach Vertragsende nicht heraus. Tragt die betroffenen Nummern und den Registrierungsinhaber genau ein, damit später klar ist, wem was gehört.</w:t>
      </w:r>
    </w:p>
    <w:p>
      <w:pPr>
        <w:pStyle w:val="Heading2"/>
        <w:keepNext/>
        <w:spacing w:after="80" w:before="160"/>
      </w:pPr>
      <w:r>
        <w:rPr>
          <w:rFonts w:ascii="Arial" w:cs="Arial" w:eastAsia="Arial" w:hAnsi="Arial"/>
          <w:b/>
          <w:bCs/>
          <w:i w:val="false"/>
          <w:iCs w:val="false"/>
          <w:color w:val="0B0B0F"/>
          <w:sz w:val="21"/>
          <w:szCs w:val="21"/>
        </w:rPr>
        <w:t xml:space="preserve">Notfall- und Rückfallkontakt</w:t>
      </w:r>
    </w:p>
    <w:p>
      <w:pPr>
        <w:spacing w:after="120" w:line="276"/>
        <w:jc w:val="both"/>
      </w:pPr>
      <w:r>
        <w:rPr>
          <w:rFonts w:ascii="Arial" w:cs="Arial" w:eastAsia="Arial" w:hAnsi="Arial"/>
          <w:b w:val="false"/>
          <w:bCs w:val="false"/>
          <w:i w:val="false"/>
          <w:iCs w:val="false"/>
          <w:color w:val="1A1A1A"/>
          <w:sz w:val="21"/>
          <w:szCs w:val="21"/>
        </w:rPr>
        <w:t xml:space="preserve">Der Kunde nennt einen Notfallkontakt und eine Rückfallnummer für gescheiterte Weiterleitungen. Ehrlich steht jetzt dabei: Fällt die Telefonie aus, gibt es keine automatische Umleitung – die muss der Kunde bei seinem Netzbetreiber einrichten.</w:t>
      </w:r>
    </w:p>
    <w:p>
      <w:pPr>
        <w:pStyle w:val="Heading2"/>
        <w:keepNext/>
        <w:spacing w:after="80" w:before="160"/>
      </w:pPr>
      <w:r>
        <w:rPr>
          <w:rFonts w:ascii="Arial" w:cs="Arial" w:eastAsia="Arial" w:hAnsi="Arial"/>
          <w:b/>
          <w:bCs/>
          <w:i w:val="false"/>
          <w:iCs w:val="false"/>
          <w:color w:val="0B0B0F"/>
          <w:sz w:val="21"/>
          <w:szCs w:val="21"/>
        </w:rPr>
        <w:t xml:space="preserve">Einrichtung und Start</w:t>
      </w:r>
    </w:p>
    <w:p>
      <w:pPr>
        <w:spacing w:after="120" w:line="276"/>
        <w:jc w:val="both"/>
      </w:pPr>
      <w:r>
        <w:rPr>
          <w:rFonts w:ascii="Arial" w:cs="Arial" w:eastAsia="Arial" w:hAnsi="Arial"/>
          <w:b w:val="false"/>
          <w:bCs w:val="false"/>
          <w:i w:val="false"/>
          <w:iCs w:val="false"/>
          <w:color w:val="1A1A1A"/>
          <w:sz w:val="21"/>
          <w:szCs w:val="21"/>
        </w:rPr>
        <w:t xml:space="preserve">Hier wird ein geplanter Startzeitpunkt eingetragen, üblich sind 3 bis 10 Werktage nach vollständiger Mitwirkung des Kunden. Wichtig für euch: Dieser Termin ist ausdrücklich nur ein unverbindliches Ziel, kein fixer Liefertermin. So könnt ihr nicht in Verzug geraten, wenn der Kunde seine Zugänge zu spät liefert — die Uhr läuft erst, wenn er alles bereitgestellt hat.</w:t>
      </w:r>
    </w:p>
    <w:p>
      <w:pPr>
        <w:pStyle w:val="Heading2"/>
        <w:keepNext/>
        <w:spacing w:after="80" w:before="160"/>
      </w:pPr>
      <w:r>
        <w:rPr>
          <w:rFonts w:ascii="Arial" w:cs="Arial" w:eastAsia="Arial" w:hAnsi="Arial"/>
          <w:b/>
          <w:bCs/>
          <w:i w:val="false"/>
          <w:iCs w:val="false"/>
          <w:color w:val="0B0B0F"/>
          <w:sz w:val="21"/>
          <w:szCs w:val="21"/>
        </w:rPr>
        <w:t xml:space="preserve">Optionale Ablösesumme (Prompt-Weiternutzung)</w:t>
      </w:r>
    </w:p>
    <w:p>
      <w:pPr>
        <w:spacing w:after="120" w:line="276"/>
        <w:jc w:val="both"/>
      </w:pPr>
      <w:r>
        <w:rPr>
          <w:rFonts w:ascii="Arial" w:cs="Arial" w:eastAsia="Arial" w:hAnsi="Arial"/>
          <w:b w:val="false"/>
          <w:bCs w:val="false"/>
          <w:i w:val="false"/>
          <w:iCs w:val="false"/>
          <w:color w:val="1A1A1A"/>
          <w:sz w:val="21"/>
          <w:szCs w:val="21"/>
        </w:rPr>
        <w:t xml:space="preserve">Optional könnt ihr eine einmalige Summe vereinbaren, gegen die der Kunde die für ihn erstellten Prompts/Konfigurationen auch nach Vertragsende weiter nutzen darf. Der Standard ist: ohne diese Vereinbarung gehört euch euer Know-how und der Kunde bekommt nach Vertragsende nichts heraus. Nutzt das als zusätzliche Einnahmequelle, aber kreuzt es nur an, wenn ihr die Weiternutzung wirklich zulassen wollt, und tragt dann die Summe ein.</w:t>
      </w:r>
    </w:p>
    <w:p>
      <w:pPr>
        <w:pStyle w:val="Heading2"/>
        <w:keepNext/>
        <w:spacing w:after="80" w:before="160"/>
      </w:pPr>
      <w:r>
        <w:rPr>
          <w:rFonts w:ascii="Arial" w:cs="Arial" w:eastAsia="Arial" w:hAnsi="Arial"/>
          <w:b/>
          <w:bCs/>
          <w:i w:val="false"/>
          <w:iCs w:val="false"/>
          <w:color w:val="0B0B0F"/>
          <w:sz w:val="21"/>
          <w:szCs w:val="21"/>
        </w:rPr>
        <w:t xml:space="preserve">Schlussbestätigung und Unterschriften</w:t>
      </w:r>
    </w:p>
    <w:p>
      <w:pPr>
        <w:spacing w:after="120" w:line="276"/>
        <w:jc w:val="both"/>
      </w:pPr>
      <w:r>
        <w:rPr>
          <w:rFonts w:ascii="Arial" w:cs="Arial" w:eastAsia="Arial" w:hAnsi="Arial"/>
          <w:b w:val="false"/>
          <w:bCs w:val="false"/>
          <w:i w:val="false"/>
          <w:iCs w:val="false"/>
          <w:color w:val="1A1A1A"/>
          <w:sz w:val="21"/>
          <w:szCs w:val="21"/>
        </w:rPr>
        <w:t xml:space="preserve">Beide Gesellschafter und der Kunde unterschreiben. Der Schlussvermerk sagt ehrlich: Entwurf, von NexAI erstellt, anwaltliche Prüfung folgt.</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03 · Anlage A – Leistungsbeschreibung</w:t>
      </w:r>
    </w:p>
    <w:p>
      <w:pPr>
        <w:spacing w:after="120" w:line="276"/>
        <w:jc w:val="both"/>
      </w:pPr>
      <w:r>
        <w:rPr>
          <w:rFonts w:ascii="Arial" w:cs="Arial" w:eastAsia="Arial" w:hAnsi="Arial"/>
          <w:b w:val="false"/>
          <w:bCs w:val="false"/>
          <w:i w:val="false"/>
          <w:iCs w:val="false"/>
          <w:color w:val="1A1A1A"/>
          <w:sz w:val="21"/>
          <w:szCs w:val="21"/>
        </w:rPr>
        <w:t xml:space="preserve">Dieses Dokument beschreibt genau, welche KI-Agenten und Leistungen NexAI für einen Kunden anbieten und liefern kann und wo die Grenzen liegen.</w:t>
      </w:r>
    </w:p>
    <w:p>
      <w:pPr>
        <w:pStyle w:val="Heading2"/>
        <w:keepNext/>
        <w:spacing w:after="80" w:before="160"/>
      </w:pPr>
      <w:r>
        <w:rPr>
          <w:rFonts w:ascii="Arial" w:cs="Arial" w:eastAsia="Arial" w:hAnsi="Arial"/>
          <w:b/>
          <w:bCs/>
          <w:i w:val="false"/>
          <w:iCs w:val="false"/>
          <w:color w:val="0B0B0F"/>
          <w:sz w:val="21"/>
          <w:szCs w:val="21"/>
        </w:rPr>
        <w:t xml:space="preserve">Vorbemerkung und Rangfolge</w:t>
      </w:r>
    </w:p>
    <w:p>
      <w:pPr>
        <w:spacing w:after="120" w:line="276"/>
        <w:jc w:val="both"/>
      </w:pPr>
      <w:r>
        <w:rPr>
          <w:rFonts w:ascii="Arial" w:cs="Arial" w:eastAsia="Arial" w:hAnsi="Arial"/>
          <w:b w:val="false"/>
          <w:bCs w:val="false"/>
          <w:i w:val="false"/>
          <w:iCs w:val="false"/>
          <w:color w:val="1A1A1A"/>
          <w:sz w:val="21"/>
          <w:szCs w:val="21"/>
        </w:rPr>
        <w:t xml:space="preserve">Diese Anlage listet den kompletten möglichen Leistungskatalog auf, aber gebucht ist immer nur das, was im jeweiligen Auftragsformular angekreuzt wurde. Für euch heißt das: ihr müsst nur genau das liefern, was im Auftragsformular steht, alles andere ist nur gegen extra schriftliche Beauftragung (Change Request) fällig. Achtet darauf, dass bei Widersprüchen das Auftragsformular vorgeht, damit klar ist, was wirklich geschuldet ist.</w:t>
      </w:r>
    </w:p>
    <w:p>
      <w:pPr>
        <w:pStyle w:val="Heading2"/>
        <w:keepNext/>
        <w:spacing w:after="80" w:before="160"/>
      </w:pPr>
      <w:r>
        <w:rPr>
          <w:rFonts w:ascii="Arial" w:cs="Arial" w:eastAsia="Arial" w:hAnsi="Arial"/>
          <w:b/>
          <w:bCs/>
          <w:i w:val="false"/>
          <w:iCs w:val="false"/>
          <w:color w:val="0B0B0F"/>
          <w:sz w:val="21"/>
          <w:szCs w:val="21"/>
        </w:rPr>
        <w:t xml:space="preserve">Gegenstand und Leistungskategorien</w:t>
      </w:r>
    </w:p>
    <w:p>
      <w:pPr>
        <w:spacing w:after="120" w:line="276"/>
        <w:jc w:val="both"/>
      </w:pPr>
      <w:r>
        <w:rPr>
          <w:rFonts w:ascii="Arial" w:cs="Arial" w:eastAsia="Arial" w:hAnsi="Arial"/>
          <w:b w:val="false"/>
          <w:bCs w:val="false"/>
          <w:i w:val="false"/>
          <w:iCs w:val="false"/>
          <w:color w:val="1A1A1A"/>
          <w:sz w:val="21"/>
          <w:szCs w:val="21"/>
        </w:rPr>
        <w:t xml:space="preserve">Projektleistungen (Einrichtung, Ziffer 5 und 10) sind Werkvertrag mit Abnahme; der Betrieb richtet sich nach § 3 des Rahmenvertrags und dem SLA. Für Kauflizenzen gilt Anlage E. Die toten Verweise auf „Ziffern 7 bis 9“ sind korrigiert.</w:t>
      </w:r>
    </w:p>
    <w:p>
      <w:pPr>
        <w:pStyle w:val="Heading2"/>
        <w:keepNext/>
        <w:spacing w:after="80" w:before="160"/>
      </w:pPr>
      <w:r>
        <w:rPr>
          <w:rFonts w:ascii="Arial" w:cs="Arial" w:eastAsia="Arial" w:hAnsi="Arial"/>
          <w:b/>
          <w:bCs/>
          <w:i w:val="false"/>
          <w:iCs w:val="false"/>
          <w:color w:val="0B0B0F"/>
          <w:sz w:val="21"/>
          <w:szCs w:val="21"/>
        </w:rPr>
        <w:t xml:space="preserve">Voice Agent (KI-Telefonassistent)</w:t>
      </w:r>
    </w:p>
    <w:p>
      <w:pPr>
        <w:spacing w:after="120" w:line="276"/>
        <w:jc w:val="both"/>
      </w:pPr>
      <w:r>
        <w:rPr>
          <w:rFonts w:ascii="Arial" w:cs="Arial" w:eastAsia="Arial" w:hAnsi="Arial"/>
          <w:b w:val="false"/>
          <w:bCs w:val="false"/>
          <w:i w:val="false"/>
          <w:iCs w:val="false"/>
          <w:color w:val="1A1A1A"/>
          <w:sz w:val="21"/>
          <w:szCs w:val="21"/>
        </w:rPr>
        <w:t xml:space="preserve">Der Voice Agent nimmt Anrufe an, beantwortet Fragen, bucht Termine, leitet weiter und erfasst Anliegen. Ausgehende Anrufe sind derzeit nicht verfügbar und nur nach gesonderter Beauftragung möglich. Zu Beginn kommt immer die KI-Ansage.</w:t>
      </w:r>
    </w:p>
    <w:p>
      <w:pPr>
        <w:pStyle w:val="Heading2"/>
        <w:keepNext/>
        <w:spacing w:after="80" w:before="160"/>
      </w:pPr>
      <w:r>
        <w:rPr>
          <w:rFonts w:ascii="Arial" w:cs="Arial" w:eastAsia="Arial" w:hAnsi="Arial"/>
          <w:b/>
          <w:bCs/>
          <w:i w:val="false"/>
          <w:iCs w:val="false"/>
          <w:color w:val="0B0B0F"/>
          <w:sz w:val="21"/>
          <w:szCs w:val="21"/>
        </w:rPr>
        <w:t xml:space="preserve">Chat Agent (Website-/App-Chatassistent)</w:t>
      </w:r>
    </w:p>
    <w:p>
      <w:pPr>
        <w:spacing w:after="120" w:line="276"/>
        <w:jc w:val="both"/>
      </w:pPr>
      <w:r>
        <w:rPr>
          <w:rFonts w:ascii="Arial" w:cs="Arial" w:eastAsia="Arial" w:hAnsi="Arial"/>
          <w:b w:val="false"/>
          <w:bCs w:val="false"/>
          <w:i w:val="false"/>
          <w:iCs w:val="false"/>
          <w:color w:val="1A1A1A"/>
          <w:sz w:val="21"/>
          <w:szCs w:val="21"/>
        </w:rPr>
        <w:t xml:space="preserve">Der Chat Agent führt Textgespräche auf Website oder App, berät, empfiehlt Produkte, erfasst Leads, bucht Termine und sucht in Kundendokumenten. Für euch bedeutet das ein Chat-Widget, das ähnlich wie der Voice Agent arbeitet, nur schriftlich. Wichtig: der Chat darf keine verbindlichen Preis- oder Vertragszusagen machen und muss sichtbar als KI gekennzeichnet sein.</w:t>
      </w:r>
    </w:p>
    <w:p>
      <w:pPr>
        <w:pStyle w:val="Heading2"/>
        <w:keepNext/>
        <w:spacing w:after="80" w:before="160"/>
      </w:pPr>
      <w:r>
        <w:rPr>
          <w:rFonts w:ascii="Arial" w:cs="Arial" w:eastAsia="Arial" w:hAnsi="Arial"/>
          <w:b/>
          <w:bCs/>
          <w:i w:val="false"/>
          <w:iCs w:val="false"/>
          <w:color w:val="0B0B0F"/>
          <w:sz w:val="21"/>
          <w:szCs w:val="21"/>
        </w:rPr>
        <w:t xml:space="preserve">5.1 NexAI CRM (Kundensystem)</w:t>
      </w:r>
    </w:p>
    <w:p>
      <w:pPr>
        <w:spacing w:after="120" w:line="276"/>
        <w:jc w:val="both"/>
      </w:pPr>
      <w:r>
        <w:rPr>
          <w:rFonts w:ascii="Arial" w:cs="Arial" w:eastAsia="Arial" w:hAnsi="Arial"/>
          <w:b w:val="false"/>
          <w:bCs w:val="false"/>
          <w:i w:val="false"/>
          <w:iCs w:val="false"/>
          <w:color w:val="1A1A1A"/>
          <w:sz w:val="21"/>
          <w:szCs w:val="21"/>
        </w:rPr>
        <w:t xml:space="preserve">Das CRM wird als Kauflizenz für den eigenen Server des Kunden verkauft (Anlage E); ein Betrieb durch euch nur, wenn er gesondert vereinbart ist. Funktionen: Kontakte, Anfragen, Aufgaben, Pipelines, Berichte, Rechnungen und E-Rechnung, soweit freigeschaltet. Datenübernahme aus Altsystemen nur, wenn sie im Auftragsformular steht.</w:t>
      </w:r>
    </w:p>
    <w:p>
      <w:pPr>
        <w:pStyle w:val="Heading2"/>
        <w:keepNext/>
        <w:spacing w:after="80" w:before="160"/>
      </w:pPr>
      <w:r>
        <w:rPr>
          <w:rFonts w:ascii="Arial" w:cs="Arial" w:eastAsia="Arial" w:hAnsi="Arial"/>
          <w:b/>
          <w:bCs/>
          <w:i w:val="false"/>
          <w:iCs w:val="false"/>
          <w:color w:val="0B0B0F"/>
          <w:sz w:val="21"/>
          <w:szCs w:val="21"/>
        </w:rPr>
        <w:t xml:space="preserve">5.2 NexAI Kalender (Online-Terminbuchung)</w:t>
      </w:r>
    </w:p>
    <w:p>
      <w:pPr>
        <w:spacing w:after="120" w:line="276"/>
        <w:jc w:val="both"/>
      </w:pPr>
      <w:r>
        <w:rPr>
          <w:rFonts w:ascii="Arial" w:cs="Arial" w:eastAsia="Arial" w:hAnsi="Arial"/>
          <w:b w:val="false"/>
          <w:bCs w:val="false"/>
          <w:i w:val="false"/>
          <w:iCs w:val="false"/>
          <w:color w:val="1A1A1A"/>
          <w:sz w:val="21"/>
          <w:szCs w:val="21"/>
        </w:rPr>
        <w:t xml:space="preserve">Der Kalender lässt Kundschaft selbst Termine buchen und verschickt Bestätigung und Erinnerung per E-Mail oder SMS; Doppelbuchungen sind technisch ausgeschlossen. Für euch heißt das: Der SMS-Versand kostet Geld und läuft über einen Dienstleister — tragt Freikontingent und Preis ins Auftragsformular ein. Achtet darauf: Damit die eigene Rufnummer des Kunden als Absender erscheint, muss er sie beim Versanddienst verifizieren; das ist seine Mitwirkung, nicht eure Schuld, wenn es fehlt.</w:t>
      </w:r>
    </w:p>
    <w:p>
      <w:pPr>
        <w:pStyle w:val="Heading2"/>
        <w:keepNext/>
        <w:spacing w:after="80" w:before="160"/>
      </w:pPr>
      <w:r>
        <w:rPr>
          <w:rFonts w:ascii="Arial" w:cs="Arial" w:eastAsia="Arial" w:hAnsi="Arial"/>
          <w:b/>
          <w:bCs/>
          <w:i w:val="false"/>
          <w:iCs w:val="false"/>
          <w:color w:val="0B0B0F"/>
          <w:sz w:val="21"/>
          <w:szCs w:val="21"/>
        </w:rPr>
        <w:t xml:space="preserve">5.3 NexAI App (individuelle Anwendung)</w:t>
      </w:r>
    </w:p>
    <w:p>
      <w:pPr>
        <w:spacing w:after="120" w:line="276"/>
        <w:jc w:val="both"/>
      </w:pPr>
      <w:r>
        <w:rPr>
          <w:rFonts w:ascii="Arial" w:cs="Arial" w:eastAsia="Arial" w:hAnsi="Arial"/>
          <w:b w:val="false"/>
          <w:bCs w:val="false"/>
          <w:i w:val="false"/>
          <w:iCs w:val="false"/>
          <w:color w:val="1A1A1A"/>
          <w:sz w:val="21"/>
          <w:szCs w:val="21"/>
        </w:rPr>
        <w:t xml:space="preserve">Ihr baut dem Kunden eine eigene installierbare App in seiner Marke, etwa ein Kundenportal oder eine App für seine Beschäftigten, mit Push-Nachrichten und Anbindung an seine Systeme. Für euch heißt das: Umfang und Abnahmekriterien gehören je Projekt schriftlich festgelegt, sonst ist unklar, wann ihr fertig seid. Achtet darauf: Eine Veröffentlichung im App-Store von Apple oder Google schuldet ihr NICHT — die App wird direkt aus dem Browser installiert. Festpreis, Nutzungsrecht, Betrieb und Pflege regelt Anlage E Ziffer 8.</w:t>
      </w:r>
    </w:p>
    <w:p>
      <w:pPr>
        <w:pStyle w:val="Heading2"/>
        <w:keepNext/>
        <w:spacing w:after="80" w:before="160"/>
      </w:pPr>
      <w:r>
        <w:rPr>
          <w:rFonts w:ascii="Arial" w:cs="Arial" w:eastAsia="Arial" w:hAnsi="Arial"/>
          <w:b/>
          <w:bCs/>
          <w:i w:val="false"/>
          <w:iCs w:val="false"/>
          <w:color w:val="0B0B0F"/>
          <w:sz w:val="21"/>
          <w:szCs w:val="21"/>
        </w:rPr>
        <w:t xml:space="preserve">5.4 NexAI Mailagent (Postfachassistent)</w:t>
      </w:r>
    </w:p>
    <w:p>
      <w:pPr>
        <w:spacing w:after="120" w:line="276"/>
        <w:jc w:val="both"/>
      </w:pPr>
      <w:r>
        <w:rPr>
          <w:rFonts w:ascii="Arial" w:cs="Arial" w:eastAsia="Arial" w:hAnsi="Arial"/>
          <w:b w:val="false"/>
          <w:bCs w:val="false"/>
          <w:i w:val="false"/>
          <w:iCs w:val="false"/>
          <w:color w:val="1A1A1A"/>
          <w:sz w:val="21"/>
          <w:szCs w:val="21"/>
        </w:rPr>
        <w:t xml:space="preserve">Der Mailagent steht jetzt im Vertrag: Er spiegelt die Postfächer, stuft ein, erkennt Fristen, Rechnungen und Betrug und schreibt Entwürfe, die ein Mensch freigibt. Selbsttätiger Versand nur, wenn er im Auftragsformular angekreuzt ist; wer dann für den Inhalt einsteht, entscheidet Max noch. Die Aufbewahrungsfristen kommen aus dem Löschcode (180/90/90 Tage, Protokoll 1.095 Tage, Zeile sechs Jahre), und der Mailagent ist ausdrücklich kein Archiv für Handelsbriefe.</w:t>
      </w:r>
    </w:p>
    <w:p>
      <w:pPr>
        <w:pStyle w:val="Heading2"/>
        <w:keepNext/>
        <w:spacing w:after="80" w:before="160"/>
      </w:pPr>
      <w:r>
        <w:rPr>
          <w:rFonts w:ascii="Arial" w:cs="Arial" w:eastAsia="Arial" w:hAnsi="Arial"/>
          <w:b/>
          <w:bCs/>
          <w:i w:val="false"/>
          <w:iCs w:val="false"/>
          <w:color w:val="0B0B0F"/>
          <w:sz w:val="21"/>
          <w:szCs w:val="21"/>
        </w:rPr>
        <w:t xml:space="preserve">Automatisierungen</w:t>
      </w:r>
    </w:p>
    <w:p>
      <w:pPr>
        <w:spacing w:after="120" w:line="276"/>
        <w:jc w:val="both"/>
      </w:pPr>
      <w:r>
        <w:rPr>
          <w:rFonts w:ascii="Arial" w:cs="Arial" w:eastAsia="Arial" w:hAnsi="Arial"/>
          <w:b w:val="false"/>
          <w:bCs w:val="false"/>
          <w:i w:val="false"/>
          <w:iCs w:val="false"/>
          <w:color w:val="1A1A1A"/>
          <w:sz w:val="21"/>
          <w:szCs w:val="21"/>
        </w:rPr>
        <w:t xml:space="preserve">Ihr richtet Workflows ein, die Systeme wie CRM, Google Workspace, Microsoft 365, Kalender, E-Mail und Tabellen verbinden und Aufgaben wie Benachrichtigungen und Lead-Routing automatisieren. Praktisch verkettet ihr damit wiederkehrende Kundenprozesse über Schnittstellen und Webhooks. Achtet darauf, dass ihr auf fremde Systeme (Subunternehmer) angewiesen seid und der Kunde selbst die nötigen Zugänge und Berechtigungen liefern muss.</w:t>
      </w:r>
    </w:p>
    <w:p>
      <w:pPr>
        <w:pStyle w:val="Heading2"/>
        <w:keepNext/>
        <w:spacing w:after="80" w:before="160"/>
      </w:pPr>
      <w:r>
        <w:rPr>
          <w:rFonts w:ascii="Arial" w:cs="Arial" w:eastAsia="Arial" w:hAnsi="Arial"/>
          <w:b/>
          <w:bCs/>
          <w:i w:val="false"/>
          <w:iCs w:val="false"/>
          <w:color w:val="0B0B0F"/>
          <w:sz w:val="21"/>
          <w:szCs w:val="21"/>
        </w:rPr>
        <w:t xml:space="preserve">Individuelle KI-Agenten</w:t>
      </w:r>
    </w:p>
    <w:p>
      <w:pPr>
        <w:spacing w:after="120" w:line="276"/>
        <w:jc w:val="both"/>
      </w:pPr>
      <w:r>
        <w:rPr>
          <w:rFonts w:ascii="Arial" w:cs="Arial" w:eastAsia="Arial" w:hAnsi="Arial"/>
          <w:b w:val="false"/>
          <w:bCs w:val="false"/>
          <w:i w:val="false"/>
          <w:iCs w:val="false"/>
          <w:color w:val="1A1A1A"/>
          <w:sz w:val="21"/>
          <w:szCs w:val="21"/>
        </w:rPr>
        <w:t xml:space="preserve">Wenn beauftragt, baut und betreibt ihr maßgeschneiderte Agenten, deren Ziele, Datenquellen und Abnahmekriterien gesondert je Projekt festgelegt werden. Für euch heißt das: der genaue Umfang steht nicht hier, sondern wird pro Projekt beschrieben und wird dann Teil dieser Anlage. Achtet darauf, dass auch für diese Sonderagenten die Regeln zu Transparenz, Aufzeichnung und Guardrails (Ziffern 11 bis 13) voll gelten.</w:t>
      </w:r>
    </w:p>
    <w:p>
      <w:pPr>
        <w:pStyle w:val="Heading2"/>
        <w:keepNext/>
        <w:spacing w:after="80" w:before="160"/>
      </w:pPr>
      <w:r>
        <w:rPr>
          <w:rFonts w:ascii="Arial" w:cs="Arial" w:eastAsia="Arial" w:hAnsi="Arial"/>
          <w:b/>
          <w:bCs/>
          <w:i w:val="false"/>
          <w:iCs w:val="false"/>
          <w:color w:val="0B0B0F"/>
          <w:sz w:val="21"/>
          <w:szCs w:val="21"/>
        </w:rPr>
        <w:t xml:space="preserve">Ersteinrichtung</w:t>
      </w:r>
    </w:p>
    <w:p>
      <w:pPr>
        <w:spacing w:after="120" w:line="276"/>
        <w:jc w:val="both"/>
      </w:pPr>
      <w:r>
        <w:rPr>
          <w:rFonts w:ascii="Arial" w:cs="Arial" w:eastAsia="Arial" w:hAnsi="Arial"/>
          <w:b w:val="false"/>
          <w:bCs w:val="false"/>
          <w:i w:val="false"/>
          <w:iCs w:val="false"/>
          <w:color w:val="1A1A1A"/>
          <w:sz w:val="21"/>
          <w:szCs w:val="21"/>
        </w:rPr>
        <w:t xml:space="preserve">Die Ersteinrichtung der Agenten und Anwendungen (Grundkonfiguration, Wissensbasis, Workflows, Anbindungen, Tests) ist ebenfalls eine Werkleistung. Wichtig für euch: Eine Einrichtungsgebühr gibt es nur, wenn sie im Auftragsformular vereinbart ist; sonst ist die Einrichtung mit dem monatlichen oder jährlichen Beitrag abgegolten.</w:t>
      </w:r>
    </w:p>
    <w:p>
      <w:pPr>
        <w:pStyle w:val="Heading2"/>
        <w:keepNext/>
        <w:spacing w:after="80" w:before="160"/>
      </w:pPr>
      <w:r>
        <w:rPr>
          <w:rFonts w:ascii="Arial" w:cs="Arial" w:eastAsia="Arial" w:hAnsi="Arial"/>
          <w:b/>
          <w:bCs/>
          <w:i w:val="false"/>
          <w:iCs w:val="false"/>
          <w:color w:val="0B0B0F"/>
          <w:sz w:val="21"/>
          <w:szCs w:val="21"/>
        </w:rPr>
        <w:t xml:space="preserve">KI-Kennzeichnung und Pflicht-Ansage (Transparenz)</w:t>
      </w:r>
    </w:p>
    <w:p>
      <w:pPr>
        <w:spacing w:after="120" w:line="276"/>
        <w:jc w:val="both"/>
      </w:pPr>
      <w:r>
        <w:rPr>
          <w:rFonts w:ascii="Arial" w:cs="Arial" w:eastAsia="Arial" w:hAnsi="Arial"/>
          <w:b w:val="false"/>
          <w:bCs w:val="false"/>
          <w:i w:val="false"/>
          <w:iCs w:val="false"/>
          <w:color w:val="1A1A1A"/>
          <w:sz w:val="21"/>
          <w:szCs w:val="21"/>
        </w:rPr>
        <w:t xml:space="preserve">Jeder Endnutzer erfährt zu Beginn, dass er mit einer KI spricht; nicht abschaltbar. Neu: Bis 2. Dezember 2026 müssen Ausgaben zusätzlich maschinenlesbar gekennzeichnet sein (Art. 50 Abs. 2 KI-VO) – bei E-Mails des Mailagenten erledigt, bei Chat und Sprache noch offen. Der veraltete Social-Media-Agent ist gestrichen.</w:t>
      </w:r>
    </w:p>
    <w:p>
      <w:pPr>
        <w:pStyle w:val="Heading2"/>
        <w:keepNext/>
        <w:spacing w:after="80" w:before="160"/>
      </w:pPr>
      <w:r>
        <w:rPr>
          <w:rFonts w:ascii="Arial" w:cs="Arial" w:eastAsia="Arial" w:hAnsi="Arial"/>
          <w:b/>
          <w:bCs/>
          <w:i w:val="false"/>
          <w:iCs w:val="false"/>
          <w:color w:val="0B0B0F"/>
          <w:sz w:val="21"/>
          <w:szCs w:val="21"/>
        </w:rPr>
        <w:t xml:space="preserve">Aufzeichnungen und Transkripte</w:t>
      </w:r>
    </w:p>
    <w:p>
      <w:pPr>
        <w:spacing w:after="120" w:line="276"/>
        <w:jc w:val="both"/>
      </w:pPr>
      <w:r>
        <w:rPr>
          <w:rFonts w:ascii="Arial" w:cs="Arial" w:eastAsia="Arial" w:hAnsi="Arial"/>
          <w:b w:val="false"/>
          <w:bCs w:val="false"/>
          <w:i w:val="false"/>
          <w:iCs w:val="false"/>
          <w:color w:val="1A1A1A"/>
          <w:sz w:val="21"/>
          <w:szCs w:val="21"/>
        </w:rPr>
        <w:t xml:space="preserve">Keine Tonaufzeichnung als Standard; das technische Gesprächsprotokoll beim Telefonie-Anbieter (bis zu [14] Tage) steht jetzt offen drin. Aufnahmen und dauerhafte Mitschriften nur auf Weisung und höchstens sechs Monate. Die übrigen Speicherregeln stehen im Rahmenvertrag und in Anhang 3 der AVV.</w:t>
      </w:r>
    </w:p>
    <w:p>
      <w:pPr>
        <w:pStyle w:val="Heading2"/>
        <w:keepNext/>
        <w:spacing w:after="80" w:before="160"/>
      </w:pPr>
      <w:r>
        <w:rPr>
          <w:rFonts w:ascii="Arial" w:cs="Arial" w:eastAsia="Arial" w:hAnsi="Arial"/>
          <w:b/>
          <w:bCs/>
          <w:i w:val="false"/>
          <w:iCs w:val="false"/>
          <w:color w:val="0B0B0F"/>
          <w:sz w:val="21"/>
          <w:szCs w:val="21"/>
        </w:rPr>
        <w:t xml:space="preserve">Guardrails und Themenausschlüsse</w:t>
      </w:r>
    </w:p>
    <w:p>
      <w:pPr>
        <w:spacing w:after="120" w:line="276"/>
        <w:jc w:val="both"/>
      </w:pPr>
      <w:r>
        <w:rPr>
          <w:rFonts w:ascii="Arial" w:cs="Arial" w:eastAsia="Arial" w:hAnsi="Arial"/>
          <w:b w:val="false"/>
          <w:bCs w:val="false"/>
          <w:i w:val="false"/>
          <w:iCs w:val="false"/>
          <w:color w:val="1A1A1A"/>
          <w:sz w:val="21"/>
          <w:szCs w:val="21"/>
        </w:rPr>
        <w:t xml:space="preserve">Die Agenten dürfen keine verbindlichen Zusagen und keine medizinische, rechtliche oder steuerliche Beratung geben, eskalieren bei unklaren Fällen an Menschen und prüfen Termine gegen den Kalender. Für euch heißt das: diese Leitplanken schützen euch vor Haftung, weil die KI nur unverbindlich informiert. Achtet darauf, dass die Pflege und Richtigkeit der Wissensbasis (Preise, Öffnungszeiten usw.) beim Kunden liegt, nicht bei euch.</w:t>
      </w:r>
    </w:p>
    <w:p>
      <w:pPr>
        <w:pStyle w:val="Heading2"/>
        <w:keepNext/>
        <w:spacing w:after="80" w:before="160"/>
      </w:pPr>
      <w:r>
        <w:rPr>
          <w:rFonts w:ascii="Arial" w:cs="Arial" w:eastAsia="Arial" w:hAnsi="Arial"/>
          <w:b/>
          <w:bCs/>
          <w:i w:val="false"/>
          <w:iCs w:val="false"/>
          <w:color w:val="0B0B0F"/>
          <w:sz w:val="21"/>
          <w:szCs w:val="21"/>
        </w:rPr>
        <w:t xml:space="preserve">Nicht geschuldete Leistungen</w:t>
      </w:r>
    </w:p>
    <w:p>
      <w:pPr>
        <w:spacing w:after="120" w:line="276"/>
        <w:jc w:val="both"/>
      </w:pPr>
      <w:r>
        <w:rPr>
          <w:rFonts w:ascii="Arial" w:cs="Arial" w:eastAsia="Arial" w:hAnsi="Arial"/>
          <w:b w:val="false"/>
          <w:bCs w:val="false"/>
          <w:i w:val="false"/>
          <w:iCs w:val="false"/>
          <w:color w:val="1A1A1A"/>
          <w:sz w:val="21"/>
          <w:szCs w:val="21"/>
        </w:rPr>
        <w:t xml:space="preserve">Die Liste sagt, was nicht dabei ist (Websites, SEO, Werbung, Grafik, fremdes Hosting usw.). Neu: Die Wartung der Kunden-Server bei der Kauflizenz ist ausgenommen, weil sie in Anlage E geregelt ist.</w:t>
      </w:r>
    </w:p>
    <w:p>
      <w:pPr>
        <w:pStyle w:val="Heading2"/>
        <w:keepNext/>
        <w:spacing w:after="80" w:before="160"/>
      </w:pPr>
      <w:r>
        <w:rPr>
          <w:rFonts w:ascii="Arial" w:cs="Arial" w:eastAsia="Arial" w:hAnsi="Arial"/>
          <w:b/>
          <w:bCs/>
          <w:i w:val="false"/>
          <w:iCs w:val="false"/>
          <w:color w:val="0B0B0F"/>
          <w:sz w:val="21"/>
          <w:szCs w:val="21"/>
        </w:rPr>
        <w:t xml:space="preserve">Keine Erfolgs-, Lead- oder Umsatzgarantie (Beschaffenheit)</w:t>
      </w:r>
    </w:p>
    <w:p>
      <w:pPr>
        <w:spacing w:after="120" w:line="276"/>
        <w:jc w:val="both"/>
      </w:pPr>
      <w:r>
        <w:rPr>
          <w:rFonts w:ascii="Arial" w:cs="Arial" w:eastAsia="Arial" w:hAnsi="Arial"/>
          <w:b w:val="false"/>
          <w:bCs w:val="false"/>
          <w:i w:val="false"/>
          <w:iCs w:val="false"/>
          <w:color w:val="1A1A1A"/>
          <w:sz w:val="21"/>
          <w:szCs w:val="21"/>
        </w:rPr>
        <w:t xml:space="preserve">Ihr schuldet den ordentlichen Betrieb von Agenten und Anwendungen, aber keinen wirtschaftlichen Erfolg. Einzelne KI-Fehler sind kein Mangel, solange das System im vereinbarten Rahmen läuft.</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04 · Anlage B – AVV (Datenschutz)</w:t>
      </w:r>
    </w:p>
    <w:p>
      <w:pPr>
        <w:spacing w:after="120" w:line="276"/>
        <w:jc w:val="both"/>
      </w:pPr>
      <w:r>
        <w:rPr>
          <w:rFonts w:ascii="Arial" w:cs="Arial" w:eastAsia="Arial" w:hAnsi="Arial"/>
          <w:b w:val="false"/>
          <w:bCs w:val="false"/>
          <w:i w:val="false"/>
          <w:iCs w:val="false"/>
          <w:color w:val="1A1A1A"/>
          <w:sz w:val="21"/>
          <w:szCs w:val="21"/>
        </w:rPr>
        <w:t xml:space="preserve">Dieses Dokument ist der Datenschutz-Vertrag (Auftragsverarbeitung nach Art. 28 DSGVO), der regelt, wie ihr die personenbezogenen Daten eurer Kunden im Rahmen eurer KI-Agenten verarbeiten dürft.</w:t>
      </w:r>
    </w:p>
    <w:p>
      <w:pPr>
        <w:pStyle w:val="Heading2"/>
        <w:keepNext/>
        <w:spacing w:after="80" w:before="160"/>
      </w:pPr>
      <w:r>
        <w:rPr>
          <w:rFonts w:ascii="Arial" w:cs="Arial" w:eastAsia="Arial" w:hAnsi="Arial"/>
          <w:b/>
          <w:bCs/>
          <w:i w:val="false"/>
          <w:iCs w:val="false"/>
          <w:color w:val="0B0B0F"/>
          <w:sz w:val="21"/>
          <w:szCs w:val="21"/>
        </w:rPr>
        <w:t xml:space="preserve">Parteien</w:t>
      </w:r>
    </w:p>
    <w:p>
      <w:pPr>
        <w:spacing w:after="120" w:line="276"/>
        <w:jc w:val="both"/>
      </w:pPr>
      <w:r>
        <w:rPr>
          <w:rFonts w:ascii="Arial" w:cs="Arial" w:eastAsia="Arial" w:hAnsi="Arial"/>
          <w:b w:val="false"/>
          <w:bCs w:val="false"/>
          <w:i w:val="false"/>
          <w:iCs w:val="false"/>
          <w:color w:val="1A1A1A"/>
          <w:sz w:val="21"/>
          <w:szCs w:val="21"/>
        </w:rPr>
        <w:t xml:space="preserve">Hier stehen ihr (NexAI GbR mit euren beiden Namen als Verarbeiter) und der Kunde (Verantwortlicher), dessen Felder beim Abschluss ausgefüllt werden. Praktisch heißt das: der Kunde bestimmt, was mit den Daten passiert, ihr führt es nur aus. Achtet darauf, dass die Kundenfelder (Firma, Anschrift, Vertreter, E-Mail, Telefon) vor Unterschrift vollständig ausgefüllt sind.</w:t>
      </w:r>
    </w:p>
    <w:p>
      <w:pPr>
        <w:pStyle w:val="Heading2"/>
        <w:keepNext/>
        <w:spacing w:after="80" w:before="160"/>
      </w:pPr>
      <w:r>
        <w:rPr>
          <w:rFonts w:ascii="Arial" w:cs="Arial" w:eastAsia="Arial" w:hAnsi="Arial"/>
          <w:b/>
          <w:bCs/>
          <w:i w:val="false"/>
          <w:iCs w:val="false"/>
          <w:color w:val="0B0B0F"/>
          <w:sz w:val="21"/>
          <w:szCs w:val="21"/>
        </w:rPr>
        <w:t xml:space="preserve">Präambel, Gegenstand und Rollenverteilung</w:t>
      </w:r>
    </w:p>
    <w:p>
      <w:pPr>
        <w:spacing w:after="120" w:line="276"/>
        <w:jc w:val="both"/>
      </w:pPr>
      <w:r>
        <w:rPr>
          <w:rFonts w:ascii="Arial" w:cs="Arial" w:eastAsia="Arial" w:hAnsi="Arial"/>
          <w:b w:val="false"/>
          <w:bCs w:val="false"/>
          <w:i w:val="false"/>
          <w:iCs w:val="false"/>
          <w:color w:val="1A1A1A"/>
          <w:sz w:val="21"/>
          <w:szCs w:val="21"/>
        </w:rPr>
        <w:t xml:space="preserve">Der Kunde ist Verantwortlicher, ihr seid Auftragsverarbeiter – jetzt auch ausdrücklich für den Mailagenten. Bei der Kauflizenz verarbeitet ihr Daten nur bei Wartungszugriffen, und nur dafür gilt der AVV.</w:t>
      </w:r>
    </w:p>
    <w:p>
      <w:pPr>
        <w:pStyle w:val="Heading2"/>
        <w:keepNext/>
        <w:spacing w:after="80" w:before="160"/>
      </w:pPr>
      <w:r>
        <w:rPr>
          <w:rFonts w:ascii="Arial" w:cs="Arial" w:eastAsia="Arial" w:hAnsi="Arial"/>
          <w:b/>
          <w:bCs/>
          <w:i w:val="false"/>
          <w:iCs w:val="false"/>
          <w:color w:val="0B0B0F"/>
          <w:sz w:val="21"/>
          <w:szCs w:val="21"/>
        </w:rPr>
        <w:t xml:space="preserve">Art, Umfang, Zweck und Dauer der Verarbeitung</w:t>
      </w:r>
    </w:p>
    <w:p>
      <w:pPr>
        <w:spacing w:after="120" w:line="276"/>
        <w:jc w:val="both"/>
      </w:pPr>
      <w:r>
        <w:rPr>
          <w:rFonts w:ascii="Arial" w:cs="Arial" w:eastAsia="Arial" w:hAnsi="Arial"/>
          <w:b w:val="false"/>
          <w:bCs w:val="false"/>
          <w:i w:val="false"/>
          <w:iCs w:val="false"/>
          <w:color w:val="1A1A1A"/>
          <w:sz w:val="21"/>
          <w:szCs w:val="21"/>
        </w:rPr>
        <w:t xml:space="preserve">Hier steht, was ihr mit den Daten tut und wofür; neu ist die Beschreibung des Mailagenten (Postfächer spiegeln, einstufen, Entwürfe, Freigabeprotokoll).</w:t>
      </w:r>
    </w:p>
    <w:p>
      <w:pPr>
        <w:pStyle w:val="Heading2"/>
        <w:keepNext/>
        <w:spacing w:after="80" w:before="160"/>
      </w:pPr>
      <w:r>
        <w:rPr>
          <w:rFonts w:ascii="Arial" w:cs="Arial" w:eastAsia="Arial" w:hAnsi="Arial"/>
          <w:b/>
          <w:bCs/>
          <w:i w:val="false"/>
          <w:iCs w:val="false"/>
          <w:color w:val="0B0B0F"/>
          <w:sz w:val="21"/>
          <w:szCs w:val="21"/>
        </w:rPr>
        <w:t xml:space="preserve">Kategorien betroffener Personen und personenbezogener Daten</w:t>
      </w:r>
    </w:p>
    <w:p>
      <w:pPr>
        <w:spacing w:after="120" w:line="276"/>
        <w:jc w:val="both"/>
      </w:pPr>
      <w:r>
        <w:rPr>
          <w:rFonts w:ascii="Arial" w:cs="Arial" w:eastAsia="Arial" w:hAnsi="Arial"/>
          <w:b w:val="false"/>
          <w:bCs w:val="false"/>
          <w:i w:val="false"/>
          <w:iCs w:val="false"/>
          <w:color w:val="1A1A1A"/>
          <w:sz w:val="21"/>
          <w:szCs w:val="21"/>
        </w:rPr>
        <w:t xml:space="preserve">Neu sind die Korrespondenzpartner des Mailagenten und seine Datenarten. Sensible Daten (Art. 9) sind grundsätzlich nicht Gegenstand – außer beim Mailagenten, weil eine Krankmeldung im Posteingang nicht zu verhindern ist; Personalabteilungs-Postfächer nur nach gesonderter Vereinbarung.</w:t>
      </w:r>
    </w:p>
    <w:p>
      <w:pPr>
        <w:pStyle w:val="Heading2"/>
        <w:keepNext/>
        <w:spacing w:after="80" w:before="160"/>
      </w:pPr>
      <w:r>
        <w:rPr>
          <w:rFonts w:ascii="Arial" w:cs="Arial" w:eastAsia="Arial" w:hAnsi="Arial"/>
          <w:b/>
          <w:bCs/>
          <w:i w:val="false"/>
          <w:iCs w:val="false"/>
          <w:color w:val="0B0B0F"/>
          <w:sz w:val="21"/>
          <w:szCs w:val="21"/>
        </w:rPr>
        <w:t xml:space="preserve">§ 3a Berufsgeheimnisse</w:t>
      </w:r>
    </w:p>
    <w:p>
      <w:pPr>
        <w:spacing w:after="120" w:line="276"/>
        <w:jc w:val="both"/>
      </w:pPr>
      <w:r>
        <w:rPr>
          <w:rFonts w:ascii="Arial" w:cs="Arial" w:eastAsia="Arial" w:hAnsi="Arial"/>
          <w:b w:val="false"/>
          <w:bCs w:val="false"/>
          <w:i w:val="false"/>
          <w:iCs w:val="false"/>
          <w:color w:val="1A1A1A"/>
          <w:sz w:val="21"/>
          <w:szCs w:val="21"/>
        </w:rPr>
        <w:t xml:space="preserve">Kunden mit Berufsgeheimnis (Ärzte, Anwälte, Steuerberater, Heilberufe …) bekommen Voice Agent und Mailagent nicht, den Chat Agent entscheidet Max noch. Andere Leistungen nur mit Verschwiegenheitsvereinbarung.</w:t>
      </w:r>
    </w:p>
    <w:p>
      <w:pPr>
        <w:pStyle w:val="Heading2"/>
        <w:keepNext/>
        <w:spacing w:after="80" w:before="160"/>
      </w:pPr>
      <w:r>
        <w:rPr>
          <w:rFonts w:ascii="Arial" w:cs="Arial" w:eastAsia="Arial" w:hAnsi="Arial"/>
          <w:b/>
          <w:bCs/>
          <w:i w:val="false"/>
          <w:iCs w:val="false"/>
          <w:color w:val="0B0B0F"/>
          <w:sz w:val="21"/>
          <w:szCs w:val="21"/>
        </w:rPr>
        <w:t xml:space="preserve">Weisungsbindung</w:t>
      </w:r>
    </w:p>
    <w:p>
      <w:pPr>
        <w:spacing w:after="120" w:line="276"/>
        <w:jc w:val="both"/>
      </w:pPr>
      <w:r>
        <w:rPr>
          <w:rFonts w:ascii="Arial" w:cs="Arial" w:eastAsia="Arial" w:hAnsi="Arial"/>
          <w:b w:val="false"/>
          <w:bCs w:val="false"/>
          <w:i w:val="false"/>
          <w:iCs w:val="false"/>
          <w:color w:val="1A1A1A"/>
          <w:sz w:val="21"/>
          <w:szCs w:val="21"/>
        </w:rPr>
        <w:t xml:space="preserve">Ihr verarbeitet nur auf dokumentierte Weisung, auch für Drittlandübermittlungen. Neu: Einstellungen, die die Verwaltung des Kunden in der Anwendung vornimmt, gelten als Weisung – das braucht der Mailagent.</w:t>
      </w:r>
    </w:p>
    <w:p>
      <w:pPr>
        <w:pStyle w:val="Heading2"/>
        <w:keepNext/>
        <w:spacing w:after="80" w:before="160"/>
      </w:pPr>
      <w:r>
        <w:rPr>
          <w:rFonts w:ascii="Arial" w:cs="Arial" w:eastAsia="Arial" w:hAnsi="Arial"/>
          <w:b/>
          <w:bCs/>
          <w:i w:val="false"/>
          <w:iCs w:val="false"/>
          <w:color w:val="0B0B0F"/>
          <w:sz w:val="21"/>
          <w:szCs w:val="21"/>
        </w:rPr>
        <w:t xml:space="preserve">Vertraulichkeit</w:t>
      </w:r>
    </w:p>
    <w:p>
      <w:pPr>
        <w:spacing w:after="120" w:line="276"/>
        <w:jc w:val="both"/>
      </w:pPr>
      <w:r>
        <w:rPr>
          <w:rFonts w:ascii="Arial" w:cs="Arial" w:eastAsia="Arial" w:hAnsi="Arial"/>
          <w:b w:val="false"/>
          <w:bCs w:val="false"/>
          <w:i w:val="false"/>
          <w:iCs w:val="false"/>
          <w:color w:val="1A1A1A"/>
          <w:sz w:val="21"/>
          <w:szCs w:val="21"/>
        </w:rPr>
        <w:t xml:space="preserve">Alle Personen, die mit den Daten arbeiten, müssen zur Verschwiegenheit verpflichtet sein – auch nach Ende der Tätigkeit. Praktisch seid ihr beide als Gesellschafter automatisch unmittelbar verpflichtet. Sobald ihr Mitarbeiter oder Freelancer einsetzt, müsst ihr sie schriftlich auf Vertraulichkeit verpflichten, sonst verstoßt ihr gegen diesen Punkt.</w:t>
      </w:r>
    </w:p>
    <w:p>
      <w:pPr>
        <w:pStyle w:val="Heading2"/>
        <w:keepNext/>
        <w:spacing w:after="80" w:before="160"/>
      </w:pPr>
      <w:r>
        <w:rPr>
          <w:rFonts w:ascii="Arial" w:cs="Arial" w:eastAsia="Arial" w:hAnsi="Arial"/>
          <w:b/>
          <w:bCs/>
          <w:i w:val="false"/>
          <w:iCs w:val="false"/>
          <w:color w:val="0B0B0F"/>
          <w:sz w:val="21"/>
          <w:szCs w:val="21"/>
        </w:rPr>
        <w:t xml:space="preserve">Technische und organisatorische Maßnahmen (Art. 32 DSGVO)</w:t>
      </w:r>
    </w:p>
    <w:p>
      <w:pPr>
        <w:spacing w:after="120" w:line="276"/>
        <w:jc w:val="both"/>
      </w:pPr>
      <w:r>
        <w:rPr>
          <w:rFonts w:ascii="Arial" w:cs="Arial" w:eastAsia="Arial" w:hAnsi="Arial"/>
          <w:b w:val="false"/>
          <w:bCs w:val="false"/>
          <w:i w:val="false"/>
          <w:iCs w:val="false"/>
          <w:color w:val="1A1A1A"/>
          <w:sz w:val="21"/>
          <w:szCs w:val="21"/>
        </w:rPr>
        <w:t xml:space="preserve">Ihr müsst angemessene technische und organisatorische Schutzmaßnahmen treffen, die in Anhang 1 beschrieben sind. Praktisch dürft ihr diese Maßnahmen an den Stand der Technik anpassen, solange das Schutzniveau nicht sinkt. Wichtig: dokumentiert wesentliche Änderungen und überprüft regelmäßig, ob die Maßnahmen wirklich wirken – der Kunde kann Nachweise verlangen.</w:t>
      </w:r>
    </w:p>
    <w:p>
      <w:pPr>
        <w:pStyle w:val="Heading2"/>
        <w:keepNext/>
        <w:spacing w:after="80" w:before="160"/>
      </w:pPr>
      <w:r>
        <w:rPr>
          <w:rFonts w:ascii="Arial" w:cs="Arial" w:eastAsia="Arial" w:hAnsi="Arial"/>
          <w:b/>
          <w:bCs/>
          <w:i w:val="false"/>
          <w:iCs w:val="false"/>
          <w:color w:val="0B0B0F"/>
          <w:sz w:val="21"/>
          <w:szCs w:val="21"/>
        </w:rPr>
        <w:t xml:space="preserve">Zweckbindung, kein Modelltraining</w:t>
      </w:r>
    </w:p>
    <w:p>
      <w:pPr>
        <w:spacing w:after="120" w:line="276"/>
        <w:jc w:val="both"/>
      </w:pPr>
      <w:r>
        <w:rPr>
          <w:rFonts w:ascii="Arial" w:cs="Arial" w:eastAsia="Arial" w:hAnsi="Arial"/>
          <w:b w:val="false"/>
          <w:bCs w:val="false"/>
          <w:i w:val="false"/>
          <w:iCs w:val="false"/>
          <w:color w:val="1A1A1A"/>
          <w:sz w:val="21"/>
          <w:szCs w:val="21"/>
        </w:rPr>
        <w:t xml:space="preserve">Kein Training mit Kundendaten. Statt „Zero Retention, soweit möglich“ steht jetzt ehrlich drin, was bei welchem Dienst gilt (Anhang 2 und 3).</w:t>
      </w:r>
    </w:p>
    <w:p>
      <w:pPr>
        <w:pStyle w:val="Heading2"/>
        <w:keepNext/>
        <w:spacing w:after="80" w:before="160"/>
      </w:pPr>
      <w:r>
        <w:rPr>
          <w:rFonts w:ascii="Arial" w:cs="Arial" w:eastAsia="Arial" w:hAnsi="Arial"/>
          <w:b/>
          <w:bCs/>
          <w:i w:val="false"/>
          <w:iCs w:val="false"/>
          <w:color w:val="0B0B0F"/>
          <w:sz w:val="21"/>
          <w:szCs w:val="21"/>
        </w:rPr>
        <w:t xml:space="preserve">Speicherorte, Speicherdauer und Löschung</w:t>
      </w:r>
    </w:p>
    <w:p>
      <w:pPr>
        <w:spacing w:after="120" w:line="276"/>
        <w:jc w:val="both"/>
      </w:pPr>
      <w:r>
        <w:rPr>
          <w:rFonts w:ascii="Arial" w:cs="Arial" w:eastAsia="Arial" w:hAnsi="Arial"/>
          <w:b w:val="false"/>
          <w:bCs w:val="false"/>
          <w:i w:val="false"/>
          <w:iCs w:val="false"/>
          <w:color w:val="1A1A1A"/>
          <w:sz w:val="21"/>
          <w:szCs w:val="21"/>
        </w:rPr>
        <w:t xml:space="preserve">Die pauschale Sechs-Monats-Regel ist ersetzt: Agenten speichern nur kurz, Anwendungen sind das System des Kunden mit Löschregeln aus Anhang 3. Belege bewahrt ihr während der Laufzeit auf Weisung auf. Nach einer Wiederherstellung aus der Sicherung zieht ihr erledigte Löschungen von Hand nach.</w:t>
      </w:r>
    </w:p>
    <w:p>
      <w:pPr>
        <w:pStyle w:val="Heading2"/>
        <w:keepNext/>
        <w:spacing w:after="80" w:before="160"/>
      </w:pPr>
      <w:r>
        <w:rPr>
          <w:rFonts w:ascii="Arial" w:cs="Arial" w:eastAsia="Arial" w:hAnsi="Arial"/>
          <w:b/>
          <w:bCs/>
          <w:i w:val="false"/>
          <w:iCs w:val="false"/>
          <w:color w:val="0B0B0F"/>
          <w:sz w:val="21"/>
          <w:szCs w:val="21"/>
        </w:rPr>
        <w:t xml:space="preserve">Unterauftragsverarbeiter</w:t>
      </w:r>
    </w:p>
    <w:p>
      <w:pPr>
        <w:spacing w:after="120" w:line="276"/>
        <w:jc w:val="both"/>
      </w:pPr>
      <w:r>
        <w:rPr>
          <w:rFonts w:ascii="Arial" w:cs="Arial" w:eastAsia="Arial" w:hAnsi="Arial"/>
          <w:b w:val="false"/>
          <w:bCs w:val="false"/>
          <w:i w:val="false"/>
          <w:iCs w:val="false"/>
          <w:color w:val="1A1A1A"/>
          <w:sz w:val="21"/>
          <w:szCs w:val="21"/>
        </w:rPr>
        <w:t xml:space="preserve">Neue Dienstleister kündigt ihr 14 Tage vorher an; Änderungen bei den Dienstleistern selbst leitet ihr binnen drei Werktagen weiter. Der Kunde kann aus datenschutzrechtlichen Gründen widersprechen.</w:t>
      </w:r>
    </w:p>
    <w:p>
      <w:pPr>
        <w:pStyle w:val="Heading2"/>
        <w:keepNext/>
        <w:spacing w:after="80" w:before="160"/>
      </w:pPr>
      <w:r>
        <w:rPr>
          <w:rFonts w:ascii="Arial" w:cs="Arial" w:eastAsia="Arial" w:hAnsi="Arial"/>
          <w:b/>
          <w:bCs/>
          <w:i w:val="false"/>
          <w:iCs w:val="false"/>
          <w:color w:val="0B0B0F"/>
          <w:sz w:val="21"/>
          <w:szCs w:val="21"/>
        </w:rPr>
        <w:t xml:space="preserve">Drittlandtransfer</w:t>
      </w:r>
    </w:p>
    <w:p>
      <w:pPr>
        <w:spacing w:after="120" w:line="276"/>
        <w:jc w:val="both"/>
      </w:pPr>
      <w:r>
        <w:rPr>
          <w:rFonts w:ascii="Arial" w:cs="Arial" w:eastAsia="Arial" w:hAnsi="Arial"/>
          <w:b w:val="false"/>
          <w:bCs w:val="false"/>
          <w:i w:val="false"/>
          <w:iCs w:val="false"/>
          <w:color w:val="1A1A1A"/>
          <w:sz w:val="21"/>
          <w:szCs w:val="21"/>
        </w:rPr>
        <w:t xml:space="preserve">Für jeden Empfänger steht jetzt die richtige Grundlage drin: DPF, wo zertifiziert; SCC Modul 3 bei Vapi, weil ihr selbst übermittelt; bei OpenAI und Anthropic übermitteln deren irische Gesellschaften weiter. Die Übermittlungsbewertungen für Vapi und Anthropic müssen noch nachgezogen werden.</w:t>
      </w:r>
    </w:p>
    <w:p>
      <w:pPr>
        <w:pStyle w:val="Heading2"/>
        <w:keepNext/>
        <w:spacing w:after="80" w:before="160"/>
      </w:pPr>
      <w:r>
        <w:rPr>
          <w:rFonts w:ascii="Arial" w:cs="Arial" w:eastAsia="Arial" w:hAnsi="Arial"/>
          <w:b/>
          <w:bCs/>
          <w:i w:val="false"/>
          <w:iCs w:val="false"/>
          <w:color w:val="0B0B0F"/>
          <w:sz w:val="21"/>
          <w:szCs w:val="21"/>
        </w:rPr>
        <w:t xml:space="preserve">Unterstützungspflichten</w:t>
      </w:r>
    </w:p>
    <w:p>
      <w:pPr>
        <w:spacing w:after="120" w:line="276"/>
        <w:jc w:val="both"/>
      </w:pPr>
      <w:r>
        <w:rPr>
          <w:rFonts w:ascii="Arial" w:cs="Arial" w:eastAsia="Arial" w:hAnsi="Arial"/>
          <w:b w:val="false"/>
          <w:bCs w:val="false"/>
          <w:i w:val="false"/>
          <w:iCs w:val="false"/>
          <w:color w:val="1A1A1A"/>
          <w:sz w:val="21"/>
          <w:szCs w:val="21"/>
        </w:rPr>
        <w:t xml:space="preserve">Datenpannen meldet ihr binnen 24 Stunden per E-Mail und Telefon. Neu: der Hinweis, dass Voice, Chat und Mailagent beim Kunden eine Folgenabschätzung und damit einen Datenschutzbeauftragten auslösen, und euer vorausgefüllter Baustein dafür.</w:t>
      </w:r>
    </w:p>
    <w:p>
      <w:pPr>
        <w:pStyle w:val="Heading2"/>
        <w:keepNext/>
        <w:spacing w:after="80" w:before="160"/>
      </w:pPr>
      <w:r>
        <w:rPr>
          <w:rFonts w:ascii="Arial" w:cs="Arial" w:eastAsia="Arial" w:hAnsi="Arial"/>
          <w:b/>
          <w:bCs/>
          <w:i w:val="false"/>
          <w:iCs w:val="false"/>
          <w:color w:val="0B0B0F"/>
          <w:sz w:val="21"/>
          <w:szCs w:val="21"/>
        </w:rPr>
        <w:t xml:space="preserve">Löschung und Rückgabe nach Beendigung</w:t>
      </w:r>
    </w:p>
    <w:p>
      <w:pPr>
        <w:spacing w:after="120" w:line="276"/>
        <w:jc w:val="both"/>
      </w:pPr>
      <w:r>
        <w:rPr>
          <w:rFonts w:ascii="Arial" w:cs="Arial" w:eastAsia="Arial" w:hAnsi="Arial"/>
          <w:b w:val="false"/>
          <w:bCs w:val="false"/>
          <w:i w:val="false"/>
          <w:iCs w:val="false"/>
          <w:color w:val="1A1A1A"/>
          <w:sz w:val="21"/>
          <w:szCs w:val="21"/>
        </w:rPr>
        <w:t xml:space="preserve">30 Tage Export inklusive Dateien und Belegen, dann Löschung auch bei den Dienstleistern und unaufgefordert eine Löschbestätigung. Aufbewahrungspflichten erfüllt der Kunde mit seinem Export, nicht ihr. Beim Mailagenten löscht ihr zusätzlich alle Postfach-Zugänge.</w:t>
      </w:r>
    </w:p>
    <w:p>
      <w:pPr>
        <w:pStyle w:val="Heading2"/>
        <w:keepNext/>
        <w:spacing w:after="80" w:before="160"/>
      </w:pPr>
      <w:r>
        <w:rPr>
          <w:rFonts w:ascii="Arial" w:cs="Arial" w:eastAsia="Arial" w:hAnsi="Arial"/>
          <w:b/>
          <w:bCs/>
          <w:i w:val="false"/>
          <w:iCs w:val="false"/>
          <w:color w:val="0B0B0F"/>
          <w:sz w:val="21"/>
          <w:szCs w:val="21"/>
        </w:rPr>
        <w:t xml:space="preserve">Nachweis- und Kontrollrechte (Audit)</w:t>
      </w:r>
    </w:p>
    <w:p>
      <w:pPr>
        <w:spacing w:after="120" w:line="276"/>
        <w:jc w:val="both"/>
      </w:pPr>
      <w:r>
        <w:rPr>
          <w:rFonts w:ascii="Arial" w:cs="Arial" w:eastAsia="Arial" w:hAnsi="Arial"/>
          <w:b w:val="false"/>
          <w:bCs w:val="false"/>
          <w:i w:val="false"/>
          <w:iCs w:val="false"/>
          <w:color w:val="1A1A1A"/>
          <w:sz w:val="21"/>
          <w:szCs w:val="21"/>
        </w:rPr>
        <w:t xml:space="preserve">Der Kunde darf überprüfen, ob ihr den Datenschutz einhaltet, notfalls auch vor Ort. Praktisch reicht meist Dokumentation oder ein Testat; eine Vor-Ort-Prüfung muss mindestens 14 Tage vorher angekündigt werden und den Betrieb nicht unnötig stören. Wichtig: mehr als eine reguläre Prüfung pro Jahr ohne konkreten Anlass dürft ihr in Rechnung stellen, der Prüfer darf kein Wettbewerber sein und muss zur Vertraulichkeit verpflichtet werden.</w:t>
      </w:r>
    </w:p>
    <w:p>
      <w:pPr>
        <w:pStyle w:val="Heading2"/>
        <w:keepNext/>
        <w:spacing w:after="80" w:before="160"/>
      </w:pPr>
      <w:r>
        <w:rPr>
          <w:rFonts w:ascii="Arial" w:cs="Arial" w:eastAsia="Arial" w:hAnsi="Arial"/>
          <w:b/>
          <w:bCs/>
          <w:i w:val="false"/>
          <w:iCs w:val="false"/>
          <w:color w:val="0B0B0F"/>
          <w:sz w:val="21"/>
          <w:szCs w:val="21"/>
        </w:rPr>
        <w:t xml:space="preserve">Datenschutzbeauftragter, Verzeichnis, Kontaktstelle</w:t>
      </w:r>
    </w:p>
    <w:p>
      <w:pPr>
        <w:spacing w:after="120" w:line="276"/>
        <w:jc w:val="both"/>
      </w:pPr>
      <w:r>
        <w:rPr>
          <w:rFonts w:ascii="Arial" w:cs="Arial" w:eastAsia="Arial" w:hAnsi="Arial"/>
          <w:b w:val="false"/>
          <w:bCs w:val="false"/>
          <w:i w:val="false"/>
          <w:iCs w:val="false"/>
          <w:color w:val="1A1A1A"/>
          <w:sz w:val="21"/>
          <w:szCs w:val="21"/>
        </w:rPr>
        <w:t xml:space="preserve">Ihr müsst selbst einen Datenschutzbeauftragten benennen, weil ihr DSFA-pflichtige Verarbeitungen durchführt; der Name steht noch in eckigen Klammern. Kontaktstelle bleibt mbt@nex-a-i.com.</w:t>
      </w:r>
    </w:p>
    <w:p>
      <w:pPr>
        <w:pStyle w:val="Heading2"/>
        <w:keepNext/>
        <w:spacing w:after="80" w:before="160"/>
      </w:pPr>
      <w:r>
        <w:rPr>
          <w:rFonts w:ascii="Arial" w:cs="Arial" w:eastAsia="Arial" w:hAnsi="Arial"/>
          <w:b/>
          <w:bCs/>
          <w:i w:val="false"/>
          <w:iCs w:val="false"/>
          <w:color w:val="0B0B0F"/>
          <w:sz w:val="21"/>
          <w:szCs w:val="21"/>
        </w:rPr>
        <w:t xml:space="preserve">Rollenmatrix nach Leistungsart</w:t>
      </w:r>
    </w:p>
    <w:p>
      <w:pPr>
        <w:spacing w:after="120" w:line="276"/>
        <w:jc w:val="both"/>
      </w:pPr>
      <w:r>
        <w:rPr>
          <w:rFonts w:ascii="Arial" w:cs="Arial" w:eastAsia="Arial" w:hAnsi="Arial"/>
          <w:b w:val="false"/>
          <w:bCs w:val="false"/>
          <w:i w:val="false"/>
          <w:iCs w:val="false"/>
          <w:color w:val="1A1A1A"/>
          <w:sz w:val="21"/>
          <w:szCs w:val="21"/>
        </w:rPr>
        <w:t xml:space="preserve">Die Tabelle hat jetzt Zeilen für den Mailagenten und die Kauflizenz (nur Wartungszugriffe). Beim Mailagenten greift ihr auf Inhalte nur zur Störungsbeseitigung zu und dokumentiert das.</w:t>
      </w:r>
    </w:p>
    <w:p>
      <w:pPr>
        <w:pStyle w:val="Heading2"/>
        <w:keepNext/>
        <w:spacing w:after="80" w:before="160"/>
      </w:pPr>
      <w:r>
        <w:rPr>
          <w:rFonts w:ascii="Arial" w:cs="Arial" w:eastAsia="Arial" w:hAnsi="Arial"/>
          <w:b/>
          <w:bCs/>
          <w:i w:val="false"/>
          <w:iCs w:val="false"/>
          <w:color w:val="0B0B0F"/>
          <w:sz w:val="21"/>
          <w:szCs w:val="21"/>
        </w:rPr>
        <w:t xml:space="preserve">Haftung und Innenausgleich</w:t>
      </w:r>
    </w:p>
    <w:p>
      <w:pPr>
        <w:spacing w:after="120" w:line="276"/>
        <w:jc w:val="both"/>
      </w:pPr>
      <w:r>
        <w:rPr>
          <w:rFonts w:ascii="Arial" w:cs="Arial" w:eastAsia="Arial" w:hAnsi="Arial"/>
          <w:b w:val="false"/>
          <w:bCs w:val="false"/>
          <w:i w:val="false"/>
          <w:iCs w:val="false"/>
          <w:color w:val="1A1A1A"/>
          <w:sz w:val="21"/>
          <w:szCs w:val="21"/>
        </w:rPr>
        <w:t xml:space="preserve">Nach außen gegenüber betroffenen Personen gilt das Gesetz (Art. 82 DSGVO), intern trägt jede Partei den Schaden nach ihrem eigenen Verschuldensanteil. Praktisch heißt das: zahlt einer mehr, als er verschuldet hat, kann er sich den Rest vom anderen zurückholen. Wichtig: die übrigen Haftungsgrenzen aus dem Rahmenvertrag gelten ergänzend weiter, soweit sie dem zwingenden Datenschutzrecht nicht widersprechen.</w:t>
      </w:r>
    </w:p>
    <w:p>
      <w:pPr>
        <w:pStyle w:val="Heading2"/>
        <w:keepNext/>
        <w:spacing w:after="80" w:before="160"/>
      </w:pPr>
      <w:r>
        <w:rPr>
          <w:rFonts w:ascii="Arial" w:cs="Arial" w:eastAsia="Arial" w:hAnsi="Arial"/>
          <w:b/>
          <w:bCs/>
          <w:i w:val="false"/>
          <w:iCs w:val="false"/>
          <w:color w:val="0B0B0F"/>
          <w:sz w:val="21"/>
          <w:szCs w:val="21"/>
        </w:rPr>
        <w:t xml:space="preserve">Schlussbestimmungen</w:t>
      </w:r>
    </w:p>
    <w:p>
      <w:pPr>
        <w:spacing w:after="120" w:line="276"/>
        <w:jc w:val="both"/>
      </w:pPr>
      <w:r>
        <w:rPr>
          <w:rFonts w:ascii="Arial" w:cs="Arial" w:eastAsia="Arial" w:hAnsi="Arial"/>
          <w:b w:val="false"/>
          <w:bCs w:val="false"/>
          <w:i w:val="false"/>
          <w:iCs w:val="false"/>
          <w:color w:val="1A1A1A"/>
          <w:sz w:val="21"/>
          <w:szCs w:val="21"/>
        </w:rPr>
        <w:t xml:space="preserve">Änderungen brauchen Textform; die Anhänge 1 bis 3 sind Teil des Vertrags.</w:t>
      </w:r>
    </w:p>
    <w:p>
      <w:pPr>
        <w:pStyle w:val="Heading2"/>
        <w:keepNext/>
        <w:spacing w:after="80" w:before="160"/>
      </w:pPr>
      <w:r>
        <w:rPr>
          <w:rFonts w:ascii="Arial" w:cs="Arial" w:eastAsia="Arial" w:hAnsi="Arial"/>
          <w:b/>
          <w:bCs/>
          <w:i w:val="false"/>
          <w:iCs w:val="false"/>
          <w:color w:val="0B0B0F"/>
          <w:sz w:val="21"/>
          <w:szCs w:val="21"/>
        </w:rPr>
        <w:t xml:space="preserve">Technische und organisatorische Maßnahmen (Art. 32 DSGVO)</w:t>
      </w:r>
    </w:p>
    <w:p>
      <w:pPr>
        <w:spacing w:after="120" w:line="276"/>
        <w:jc w:val="both"/>
      </w:pPr>
      <w:r>
        <w:rPr>
          <w:rFonts w:ascii="Arial" w:cs="Arial" w:eastAsia="Arial" w:hAnsi="Arial"/>
          <w:b w:val="false"/>
          <w:bCs w:val="false"/>
          <w:i w:val="false"/>
          <w:iCs w:val="false"/>
          <w:color w:val="1A1A1A"/>
          <w:sz w:val="21"/>
          <w:szCs w:val="21"/>
        </w:rPr>
        <w:t xml:space="preserve">Anhang 1 ist jetzt nach Produkten gegliedert und sagt nur, was stimmt: etwa dass die CRM-Sicherung derzeit auf demselben Server liegt und beim Mailagenten nur eure eigene Instanz gesichert wird. Offene Punkte stehen in eckigen Klammern oder als „[setzt voraus: …]“.</w:t>
      </w:r>
    </w:p>
    <w:p>
      <w:pPr>
        <w:pStyle w:val="Heading2"/>
        <w:keepNext/>
        <w:spacing w:after="80" w:before="160"/>
      </w:pPr>
      <w:r>
        <w:rPr>
          <w:rFonts w:ascii="Arial" w:cs="Arial" w:eastAsia="Arial" w:hAnsi="Arial"/>
          <w:b/>
          <w:bCs/>
          <w:i w:val="false"/>
          <w:iCs w:val="false"/>
          <w:color w:val="0B0B0F"/>
          <w:sz w:val="21"/>
          <w:szCs w:val="21"/>
        </w:rPr>
        <w:t xml:space="preserve">Unterauftragsverarbeiter</w:t>
      </w:r>
    </w:p>
    <w:p>
      <w:pPr>
        <w:spacing w:after="120" w:line="276"/>
        <w:jc w:val="both"/>
      </w:pPr>
      <w:r>
        <w:rPr>
          <w:rFonts w:ascii="Arial" w:cs="Arial" w:eastAsia="Arial" w:hAnsi="Arial"/>
          <w:b w:val="false"/>
          <w:bCs w:val="false"/>
          <w:i w:val="false"/>
          <w:iCs w:val="false"/>
          <w:color w:val="1A1A1A"/>
          <w:sz w:val="21"/>
          <w:szCs w:val="21"/>
        </w:rPr>
        <w:t xml:space="preserve">Anhang 2 ist neu: richtige Vertragspartner (Anthropic Ireland, OpenAI Ireland, AWS EMEA), Anschriften, seven in Kiel, Resend als Plus Five Five, easybell als Telekommunikation ohne Auftragsverarbeitung. Twilio, Make, Deepgram und MiniMax sind raus.</w:t>
      </w:r>
    </w:p>
    <w:p>
      <w:pPr>
        <w:pStyle w:val="Heading2"/>
        <w:keepNext/>
        <w:spacing w:after="80" w:before="160"/>
      </w:pPr>
      <w:r>
        <w:rPr>
          <w:rFonts w:ascii="Arial" w:cs="Arial" w:eastAsia="Arial" w:hAnsi="Arial"/>
          <w:b/>
          <w:bCs/>
          <w:i w:val="false"/>
          <w:iCs w:val="false"/>
          <w:color w:val="0B0B0F"/>
          <w:sz w:val="21"/>
          <w:szCs w:val="21"/>
        </w:rPr>
        <w:t xml:space="preserve">Anhang 3: Speicher- und Löschfristen</w:t>
      </w:r>
    </w:p>
    <w:p>
      <w:pPr>
        <w:spacing w:after="120" w:line="276"/>
        <w:jc w:val="both"/>
      </w:pPr>
      <w:r>
        <w:rPr>
          <w:rFonts w:ascii="Arial" w:cs="Arial" w:eastAsia="Arial" w:hAnsi="Arial"/>
          <w:b w:val="false"/>
          <w:bCs w:val="false"/>
          <w:i w:val="false"/>
          <w:iCs w:val="false"/>
          <w:color w:val="1A1A1A"/>
          <w:sz w:val="21"/>
          <w:szCs w:val="21"/>
        </w:rPr>
        <w:t xml:space="preserve">Neu: eine Tabelle mit allen Fristen je System, die Werte stammen aus dem Code, der löscht. Seit 18.10. wird auch das CRM-Protokoll gelöscht; seit 19.10. löscht der Mailagent auch Tagesübersichten (wie Nachrichten) und gemerkte Bankverbindungen (24 Monate nach der letzten Nennung).</w:t>
      </w:r>
    </w:p>
    <w:p>
      <w:pPr>
        <w:pStyle w:val="Heading2"/>
        <w:keepNext/>
        <w:spacing w:after="80" w:before="160"/>
      </w:pPr>
      <w:r>
        <w:rPr>
          <w:rFonts w:ascii="Arial" w:cs="Arial" w:eastAsia="Arial" w:hAnsi="Arial"/>
          <w:b/>
          <w:bCs/>
          <w:i w:val="false"/>
          <w:iCs w:val="false"/>
          <w:color w:val="0B0B0F"/>
          <w:sz w:val="21"/>
          <w:szCs w:val="21"/>
        </w:rPr>
        <w:t xml:space="preserve">Unterschriften</w:t>
      </w:r>
    </w:p>
    <w:p>
      <w:pPr>
        <w:spacing w:after="120" w:line="276"/>
        <w:jc w:val="both"/>
      </w:pPr>
      <w:r>
        <w:rPr>
          <w:rFonts w:ascii="Arial" w:cs="Arial" w:eastAsia="Arial" w:hAnsi="Arial"/>
          <w:b w:val="false"/>
          <w:bCs w:val="false"/>
          <w:i w:val="false"/>
          <w:iCs w:val="false"/>
          <w:color w:val="1A1A1A"/>
          <w:sz w:val="21"/>
          <w:szCs w:val="21"/>
        </w:rPr>
        <w:t xml:space="preserve">Beide Gesellschafter und der Kunde unterschreiben den AVV mit seinen drei Anhängen.</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05 · Anlage C – SLA (Support)</w:t>
      </w:r>
    </w:p>
    <w:p>
      <w:pPr>
        <w:spacing w:after="120" w:line="276"/>
        <w:jc w:val="both"/>
      </w:pPr>
      <w:r>
        <w:rPr>
          <w:rFonts w:ascii="Arial" w:cs="Arial" w:eastAsia="Arial" w:hAnsi="Arial"/>
          <w:b w:val="false"/>
          <w:bCs w:val="false"/>
          <w:i w:val="false"/>
          <w:iCs w:val="false"/>
          <w:color w:val="1A1A1A"/>
          <w:sz w:val="21"/>
          <w:szCs w:val="21"/>
        </w:rPr>
        <w:t xml:space="preserve">Dieses Dokument legt fest, wann ihr erreichbar seid, wie schnell ihr reagiert, welche Verfügbarkeit ihr zusagt und was bei Kauflizenzen gilt.</w:t>
      </w:r>
    </w:p>
    <w:p>
      <w:pPr>
        <w:pStyle w:val="Heading2"/>
        <w:keepNext/>
        <w:spacing w:after="80" w:before="160"/>
      </w:pPr>
      <w:r>
        <w:rPr>
          <w:rFonts w:ascii="Arial" w:cs="Arial" w:eastAsia="Arial" w:hAnsi="Arial"/>
          <w:b/>
          <w:bCs/>
          <w:i w:val="false"/>
          <w:iCs w:val="false"/>
          <w:color w:val="0B0B0F"/>
          <w:sz w:val="21"/>
          <w:szCs w:val="21"/>
        </w:rPr>
        <w:t xml:space="preserve">Zweck und Geltung</w:t>
      </w:r>
    </w:p>
    <w:p>
      <w:pPr>
        <w:spacing w:after="120" w:line="276"/>
        <w:jc w:val="both"/>
      </w:pPr>
      <w:r>
        <w:rPr>
          <w:rFonts w:ascii="Arial" w:cs="Arial" w:eastAsia="Arial" w:hAnsi="Arial"/>
          <w:b w:val="false"/>
          <w:bCs w:val="false"/>
          <w:i w:val="false"/>
          <w:iCs w:val="false"/>
          <w:color w:val="1A1A1A"/>
          <w:sz w:val="21"/>
          <w:szCs w:val="21"/>
        </w:rPr>
        <w:t xml:space="preserve">Das SLA gilt für den laufenden Betrieb, nicht für Projekte; bei Kauflizenzen nur die neue Ziffer 12. Support ruht erst, wenn ihr den Betrieb nach Ankündigung und sieben Tagen Nachfrist ausgesetzt habt.</w:t>
      </w:r>
    </w:p>
    <w:p>
      <w:pPr>
        <w:pStyle w:val="Heading2"/>
        <w:keepNext/>
        <w:spacing w:after="80" w:before="160"/>
      </w:pPr>
      <w:r>
        <w:rPr>
          <w:rFonts w:ascii="Arial" w:cs="Arial" w:eastAsia="Arial" w:hAnsi="Arial"/>
          <w:b/>
          <w:bCs/>
          <w:i w:val="false"/>
          <w:iCs w:val="false"/>
          <w:color w:val="0B0B0F"/>
          <w:sz w:val="21"/>
          <w:szCs w:val="21"/>
        </w:rPr>
        <w:t xml:space="preserve">Servicezeiten</w:t>
      </w:r>
    </w:p>
    <w:p>
      <w:pPr>
        <w:spacing w:after="120" w:line="276"/>
        <w:jc w:val="both"/>
      </w:pPr>
      <w:r>
        <w:rPr>
          <w:rFonts w:ascii="Arial" w:cs="Arial" w:eastAsia="Arial" w:hAnsi="Arial"/>
          <w:b w:val="false"/>
          <w:bCs w:val="false"/>
          <w:i w:val="false"/>
          <w:iCs w:val="false"/>
          <w:color w:val="1A1A1A"/>
          <w:sz w:val="21"/>
          <w:szCs w:val="21"/>
        </w:rPr>
        <w:t xml:space="preserve">Montag bis Freitag 9 bis 17 Uhr, kein 24/7. Neu: Seid ihr im Urlaub oder krank, kündigt ihr das an; die Vertretung übernimmt Brian (im Vertrag mit vollem Namen Jason Brian Merklein), mit denselben Reaktionszeiten, P1 also 4 Servicestunden.</w:t>
      </w:r>
    </w:p>
    <w:p>
      <w:pPr>
        <w:pStyle w:val="Heading2"/>
        <w:keepNext/>
        <w:spacing w:after="80" w:before="160"/>
      </w:pPr>
      <w:r>
        <w:rPr>
          <w:rFonts w:ascii="Arial" w:cs="Arial" w:eastAsia="Arial" w:hAnsi="Arial"/>
          <w:b/>
          <w:bCs/>
          <w:i w:val="false"/>
          <w:iCs w:val="false"/>
          <w:color w:val="0B0B0F"/>
          <w:sz w:val="21"/>
          <w:szCs w:val="21"/>
        </w:rPr>
        <w:t xml:space="preserve">Supportkanäle</w:t>
      </w:r>
    </w:p>
    <w:p>
      <w:pPr>
        <w:spacing w:after="120" w:line="276"/>
        <w:jc w:val="both"/>
      </w:pPr>
      <w:r>
        <w:rPr>
          <w:rFonts w:ascii="Arial" w:cs="Arial" w:eastAsia="Arial" w:hAnsi="Arial"/>
          <w:b w:val="false"/>
          <w:bCs w:val="false"/>
          <w:i w:val="false"/>
          <w:iCs w:val="false"/>
          <w:color w:val="1A1A1A"/>
          <w:sz w:val="21"/>
          <w:szCs w:val="21"/>
        </w:rPr>
        <w:t xml:space="preserve">E-Mail, Telefon 0176 80714816 (Firmennummer) für P1-Fälle, Video, Fernwartung. Sicherheitslücken gehen an security@nex-a-i.com, sobald das Postfach eingerichtet ist.</w:t>
      </w:r>
    </w:p>
    <w:p>
      <w:pPr>
        <w:pStyle w:val="Heading2"/>
        <w:keepNext/>
        <w:spacing w:after="80" w:before="160"/>
      </w:pPr>
      <w:r>
        <w:rPr>
          <w:rFonts w:ascii="Arial" w:cs="Arial" w:eastAsia="Arial" w:hAnsi="Arial"/>
          <w:b/>
          <w:bCs/>
          <w:i w:val="false"/>
          <w:iCs w:val="false"/>
          <w:color w:val="0B0B0F"/>
          <w:sz w:val="21"/>
          <w:szCs w:val="21"/>
        </w:rPr>
        <w:t xml:space="preserve">Prioritäten und Reaktionszeiten</w:t>
      </w:r>
    </w:p>
    <w:p>
      <w:pPr>
        <w:spacing w:after="120" w:line="276"/>
        <w:jc w:val="both"/>
      </w:pPr>
      <w:r>
        <w:rPr>
          <w:rFonts w:ascii="Arial" w:cs="Arial" w:eastAsia="Arial" w:hAnsi="Arial"/>
          <w:b w:val="false"/>
          <w:bCs w:val="false"/>
          <w:i w:val="false"/>
          <w:iCs w:val="false"/>
          <w:color w:val="1A1A1A"/>
          <w:sz w:val="21"/>
          <w:szCs w:val="21"/>
        </w:rPr>
        <w:t xml:space="preserve">Ihr teilt gemeldete Störungen selbst in vier Prioritätsstufen ein, je nachdem wie stark der Betrieb betroffen ist, und die genannten Zeiten sind nur Erstreaktionszeiten. Praktisch bedeutet das: Ihr entscheidet nach eigenem Ermessen, wie dringend ein Fall ist, und die Fristen laufen nur in den Servicezeiten. Wichtig ist die Unterscheidung, die in 4.1 und 4.2 genauer erklärt wird – hier geht es nur um die erste Rückmeldung, nicht um die Lösung.</w:t>
      </w:r>
    </w:p>
    <w:p>
      <w:pPr>
        <w:pStyle w:val="Heading2"/>
        <w:keepNext/>
        <w:spacing w:after="80" w:before="160"/>
      </w:pPr>
      <w:r>
        <w:rPr>
          <w:rFonts w:ascii="Arial" w:cs="Arial" w:eastAsia="Arial" w:hAnsi="Arial"/>
          <w:b/>
          <w:bCs/>
          <w:i w:val="false"/>
          <w:iCs w:val="false"/>
          <w:color w:val="0B0B0F"/>
          <w:sz w:val="21"/>
          <w:szCs w:val="21"/>
        </w:rPr>
        <w:t xml:space="preserve">4.1 Prioritätsstufen und Beispiele</w:t>
      </w:r>
    </w:p>
    <w:p>
      <w:pPr>
        <w:spacing w:after="120" w:line="276"/>
        <w:jc w:val="both"/>
      </w:pPr>
      <w:r>
        <w:rPr>
          <w:rFonts w:ascii="Arial" w:cs="Arial" w:eastAsia="Arial" w:hAnsi="Arial"/>
          <w:b w:val="false"/>
          <w:bCs w:val="false"/>
          <w:i w:val="false"/>
          <w:iCs w:val="false"/>
          <w:color w:val="1A1A1A"/>
          <w:sz w:val="21"/>
          <w:szCs w:val="21"/>
        </w:rPr>
        <w:t xml:space="preserve">P1 heißt jetzt: ein Agent oder eine gehostete Anwendung ist komplett tot – Erstreaktion in 4 Servicestunden. P2 ein Werktag, P3 zwei, P4 drei Werktage.</w:t>
      </w:r>
    </w:p>
    <w:p>
      <w:pPr>
        <w:pStyle w:val="Heading2"/>
        <w:keepNext/>
        <w:spacing w:after="80" w:before="160"/>
      </w:pPr>
      <w:r>
        <w:rPr>
          <w:rFonts w:ascii="Arial" w:cs="Arial" w:eastAsia="Arial" w:hAnsi="Arial"/>
          <w:b/>
          <w:bCs/>
          <w:i w:val="false"/>
          <w:iCs w:val="false"/>
          <w:color w:val="0B0B0F"/>
          <w:sz w:val="21"/>
          <w:szCs w:val="21"/>
        </w:rPr>
        <w:t xml:space="preserve">4.2 Art der Reaktionszeit</w:t>
      </w:r>
    </w:p>
    <w:p>
      <w:pPr>
        <w:spacing w:after="120" w:line="276"/>
        <w:jc w:val="both"/>
      </w:pPr>
      <w:r>
        <w:rPr>
          <w:rFonts w:ascii="Arial" w:cs="Arial" w:eastAsia="Arial" w:hAnsi="Arial"/>
          <w:b w:val="false"/>
          <w:bCs w:val="false"/>
          <w:i w:val="false"/>
          <w:iCs w:val="false"/>
          <w:color w:val="1A1A1A"/>
          <w:sz w:val="21"/>
          <w:szCs w:val="21"/>
        </w:rPr>
        <w:t xml:space="preserve">Die Erstreaktion schuldet ihr; eine Lösungszeit nicht. Störungen bei Dienstleistern, die ihr nicht zu vertreten habt, verlängern nur die Behebung – leeres Guthaben oder abgelaufene Zugänge sind eure Sache.</w:t>
      </w:r>
    </w:p>
    <w:p>
      <w:pPr>
        <w:pStyle w:val="Heading2"/>
        <w:keepNext/>
        <w:spacing w:after="80" w:before="160"/>
      </w:pPr>
      <w:r>
        <w:rPr>
          <w:rFonts w:ascii="Arial" w:cs="Arial" w:eastAsia="Arial" w:hAnsi="Arial"/>
          <w:b/>
          <w:bCs/>
          <w:i w:val="false"/>
          <w:iCs w:val="false"/>
          <w:color w:val="0B0B0F"/>
          <w:sz w:val="21"/>
          <w:szCs w:val="21"/>
        </w:rPr>
        <w:t xml:space="preserve">Enthaltener und nicht enthaltener Support</w:t>
      </w:r>
    </w:p>
    <w:p>
      <w:pPr>
        <w:spacing w:after="120" w:line="276"/>
        <w:jc w:val="both"/>
      </w:pPr>
      <w:r>
        <w:rPr>
          <w:rFonts w:ascii="Arial" w:cs="Arial" w:eastAsia="Arial" w:hAnsi="Arial"/>
          <w:b w:val="false"/>
          <w:bCs w:val="false"/>
          <w:i w:val="false"/>
          <w:iCs w:val="false"/>
          <w:color w:val="1A1A1A"/>
          <w:sz w:val="21"/>
          <w:szCs w:val="21"/>
        </w:rPr>
        <w:t xml:space="preserve">Dieser Abschnitt trennt sauber, was im monatlichen Beitrag steckt und was extra kostet. Das ist wichtig für eure Marge: Kleinkram und Betreuung sind drin, größere Arbeiten nicht. Die genaue Aufteilung folgt in 5.1 und 5.2 – haltet euch daran, damit ihr Zusatzaufwand auch wirklich abrechnen könnt.</w:t>
      </w:r>
    </w:p>
    <w:p>
      <w:pPr>
        <w:pStyle w:val="Heading2"/>
        <w:keepNext/>
        <w:spacing w:after="80" w:before="160"/>
      </w:pPr>
      <w:r>
        <w:rPr>
          <w:rFonts w:ascii="Arial" w:cs="Arial" w:eastAsia="Arial" w:hAnsi="Arial"/>
          <w:b/>
          <w:bCs/>
          <w:i w:val="false"/>
          <w:iCs w:val="false"/>
          <w:color w:val="0B0B0F"/>
          <w:sz w:val="21"/>
          <w:szCs w:val="21"/>
        </w:rPr>
        <w:t xml:space="preserve">5.1 Enthaltener Support</w:t>
      </w:r>
    </w:p>
    <w:p>
      <w:pPr>
        <w:spacing w:after="120" w:line="276"/>
        <w:jc w:val="both"/>
      </w:pPr>
      <w:r>
        <w:rPr>
          <w:rFonts w:ascii="Arial" w:cs="Arial" w:eastAsia="Arial" w:hAnsi="Arial"/>
          <w:b w:val="false"/>
          <w:bCs w:val="false"/>
          <w:i w:val="false"/>
          <w:iCs w:val="false"/>
          <w:color w:val="1A1A1A"/>
          <w:sz w:val="21"/>
          <w:szCs w:val="21"/>
        </w:rPr>
        <w:t xml:space="preserve">Im Beitrag enthalten sind Störungsmeldungen bearbeiten, Fehler im eigenen Verantwortungsbereich beheben, die laufende Wartung und Pflege, kleine Konfig-Anpassungen und Bedien-Auskünfte. Das ist das, was der Kunde ohne Extrarechnung erwarten darf. Achtet auf die Formulierung geringfügige Anpassungen ohne wesentliche Änderung – alles darüber hinaus fällt bewusst in 5.2 und darf berechnet werden.</w:t>
      </w:r>
    </w:p>
    <w:p>
      <w:pPr>
        <w:pStyle w:val="Heading2"/>
        <w:keepNext/>
        <w:spacing w:after="80" w:before="160"/>
      </w:pPr>
      <w:r>
        <w:rPr>
          <w:rFonts w:ascii="Arial" w:cs="Arial" w:eastAsia="Arial" w:hAnsi="Arial"/>
          <w:b/>
          <w:bCs/>
          <w:i w:val="false"/>
          <w:iCs w:val="false"/>
          <w:color w:val="0B0B0F"/>
          <w:sz w:val="21"/>
          <w:szCs w:val="21"/>
        </w:rPr>
        <w:t xml:space="preserve">5.2 Nicht enthaltener, gesondert zu vergütender Support</w:t>
      </w:r>
    </w:p>
    <w:p>
      <w:pPr>
        <w:spacing w:after="120" w:line="276"/>
        <w:jc w:val="both"/>
      </w:pPr>
      <w:r>
        <w:rPr>
          <w:rFonts w:ascii="Arial" w:cs="Arial" w:eastAsia="Arial" w:hAnsi="Arial"/>
          <w:b w:val="false"/>
          <w:bCs w:val="false"/>
          <w:i w:val="false"/>
          <w:iCs w:val="false"/>
          <w:color w:val="1A1A1A"/>
          <w:sz w:val="21"/>
          <w:szCs w:val="21"/>
        </w:rPr>
        <w:t xml:space="preserve">Extra kosten: neue Funktionen, zusätzliche Agenten, neue oder geänderte Integrationen, Schulungen, Fehler die der Kunde oder Dritte verursacht haben, sowie Arbeit außerhalb der Servicezeiten. Diese Leistungen rechnet ihr nach Aufwand zu euren Netto-Stundensätzen (zzgl. USt.) oder per separatem Angebot ab. Wichtig ist die Pflicht, den Kunden vorher auf die Kostenpflicht hinzuweisen – tut das immer schriftlich, bevor ihr loslegt, sonst gibt es Streit über die Rechnung.</w:t>
      </w:r>
    </w:p>
    <w:p>
      <w:pPr>
        <w:pStyle w:val="Heading2"/>
        <w:keepNext/>
        <w:spacing w:after="80" w:before="160"/>
      </w:pPr>
      <w:r>
        <w:rPr>
          <w:rFonts w:ascii="Arial" w:cs="Arial" w:eastAsia="Arial" w:hAnsi="Arial"/>
          <w:b/>
          <w:bCs/>
          <w:i w:val="false"/>
          <w:iCs w:val="false"/>
          <w:color w:val="0B0B0F"/>
          <w:sz w:val="21"/>
          <w:szCs w:val="21"/>
        </w:rPr>
        <w:t xml:space="preserve">Wartung und Wartungsfenster</w:t>
      </w:r>
    </w:p>
    <w:p>
      <w:pPr>
        <w:spacing w:after="120" w:line="276"/>
        <w:jc w:val="both"/>
      </w:pPr>
      <w:r>
        <w:rPr>
          <w:rFonts w:ascii="Arial" w:cs="Arial" w:eastAsia="Arial" w:hAnsi="Arial"/>
          <w:b w:val="false"/>
          <w:bCs w:val="false"/>
          <w:i w:val="false"/>
          <w:iCs w:val="false"/>
          <w:color w:val="1A1A1A"/>
          <w:sz w:val="21"/>
          <w:szCs w:val="21"/>
        </w:rPr>
        <w:t xml:space="preserve">Planbare Wartung mit 48 Stunden Vorlauf; kurze Aktualisierungen unter 15 Minuten außerhalb 8 bis 18 Uhr gehen ohne Ankündigung. Ob Wartung als Ausfall zählt, regelt Ziffer 7.</w:t>
      </w:r>
    </w:p>
    <w:p>
      <w:pPr>
        <w:pStyle w:val="Heading2"/>
        <w:keepNext/>
        <w:spacing w:after="80" w:before="160"/>
      </w:pPr>
      <w:r>
        <w:rPr>
          <w:rFonts w:ascii="Arial" w:cs="Arial" w:eastAsia="Arial" w:hAnsi="Arial"/>
          <w:b/>
          <w:bCs/>
          <w:i w:val="false"/>
          <w:iCs w:val="false"/>
          <w:color w:val="0B0B0F"/>
          <w:sz w:val="21"/>
          <w:szCs w:val="21"/>
        </w:rPr>
        <w:t xml:space="preserve">Verfügbarkeit</w:t>
      </w:r>
    </w:p>
    <w:p>
      <w:pPr>
        <w:spacing w:after="120" w:line="276"/>
        <w:jc w:val="both"/>
      </w:pPr>
      <w:r>
        <w:rPr>
          <w:rFonts w:ascii="Arial" w:cs="Arial" w:eastAsia="Arial" w:hAnsi="Arial"/>
          <w:b w:val="false"/>
          <w:bCs w:val="false"/>
          <w:i w:val="false"/>
          <w:iCs w:val="false"/>
          <w:color w:val="1A1A1A"/>
          <w:sz w:val="21"/>
          <w:szCs w:val="21"/>
        </w:rPr>
        <w:t xml:space="preserve">Neu und wichtig: 98 % im Monat als feste Zusage für gehostete Anwendungen und eure Vermittlungsschicht. Darunter mindert sich der Beitrag um 5, 15 oder 30 %, zweimal unter 90 % erlaubt die Kündigung. Eine externe Messung gibt es noch nicht; bis dahin zählen Störungsmeldungen und eure Aufzeichnungen.</w:t>
      </w:r>
    </w:p>
    <w:p>
      <w:pPr>
        <w:pStyle w:val="Heading2"/>
        <w:keepNext/>
        <w:spacing w:after="80" w:before="160"/>
      </w:pPr>
      <w:r>
        <w:rPr>
          <w:rFonts w:ascii="Arial" w:cs="Arial" w:eastAsia="Arial" w:hAnsi="Arial"/>
          <w:b/>
          <w:bCs/>
          <w:i w:val="false"/>
          <w:iCs w:val="false"/>
          <w:color w:val="0B0B0F"/>
          <w:sz w:val="21"/>
          <w:szCs w:val="21"/>
        </w:rPr>
        <w:t xml:space="preserve">Störungsmeldung, Fallback und Business Continuity</w:t>
      </w:r>
    </w:p>
    <w:p>
      <w:pPr>
        <w:spacing w:after="120" w:line="276"/>
        <w:jc w:val="both"/>
      </w:pPr>
      <w:r>
        <w:rPr>
          <w:rFonts w:ascii="Arial" w:cs="Arial" w:eastAsia="Arial" w:hAnsi="Arial"/>
          <w:b w:val="false"/>
          <w:bCs w:val="false"/>
          <w:i w:val="false"/>
          <w:iCs w:val="false"/>
          <w:color w:val="1A1A1A"/>
          <w:sz w:val="21"/>
          <w:szCs w:val="21"/>
        </w:rPr>
        <w:t xml:space="preserve">Ihr überwacht die Agenten nicht rund um die Uhr, und der Kunde muss selbst für einen Notfallplan sorgen (z. B. Rufumleitung oder manuelle Bearbeitung), falls ein Agent ausfällt. Das verlagert die Verantwortung für den Ausfall-Notfall klar auf den Kunden. Wichtig: Der Kunde muss Störungen sofort melden und den Schaden gering halten – tut er das nicht, können seine Ansprüche gegen euch gekürzt werden oder entfallen.</w:t>
      </w:r>
    </w:p>
    <w:p>
      <w:pPr>
        <w:pStyle w:val="Heading2"/>
        <w:keepNext/>
        <w:spacing w:after="80" w:before="160"/>
      </w:pPr>
      <w:r>
        <w:rPr>
          <w:rFonts w:ascii="Arial" w:cs="Arial" w:eastAsia="Arial" w:hAnsi="Arial"/>
          <w:b/>
          <w:bCs/>
          <w:i w:val="false"/>
          <w:iCs w:val="false"/>
          <w:color w:val="0B0B0F"/>
          <w:sz w:val="21"/>
          <w:szCs w:val="21"/>
        </w:rPr>
        <w:t xml:space="preserve">Datensicherung</w:t>
      </w:r>
    </w:p>
    <w:p>
      <w:pPr>
        <w:spacing w:after="120" w:line="276"/>
        <w:jc w:val="both"/>
      </w:pPr>
      <w:r>
        <w:rPr>
          <w:rFonts w:ascii="Arial" w:cs="Arial" w:eastAsia="Arial" w:hAnsi="Arial"/>
          <w:b w:val="false"/>
          <w:bCs w:val="false"/>
          <w:i w:val="false"/>
          <w:iCs w:val="false"/>
          <w:color w:val="1A1A1A"/>
          <w:sz w:val="21"/>
          <w:szCs w:val="21"/>
        </w:rPr>
        <w:t xml:space="preserve">Hier steht nur, was heute stimmt: Kalender und Mailagent (eure Instanz) werden auf einen zweiten Server gesichert, das CRM nur auf demselben Server – gegen dessen Totalverlust schützt das nicht. Die geplante bessere Fassung steht in Klammern daneben.</w:t>
      </w:r>
    </w:p>
    <w:p>
      <w:pPr>
        <w:pStyle w:val="Heading2"/>
        <w:keepNext/>
        <w:spacing w:after="80" w:before="160"/>
      </w:pPr>
      <w:r>
        <w:rPr>
          <w:rFonts w:ascii="Arial" w:cs="Arial" w:eastAsia="Arial" w:hAnsi="Arial"/>
          <w:b/>
          <w:bCs/>
          <w:i w:val="false"/>
          <w:iCs w:val="false"/>
          <w:color w:val="0B0B0F"/>
          <w:sz w:val="21"/>
          <w:szCs w:val="21"/>
        </w:rPr>
        <w:t xml:space="preserve">Drittanbieter und Mitwirkungspflichten des Kunden</w:t>
      </w:r>
    </w:p>
    <w:p>
      <w:pPr>
        <w:spacing w:after="120" w:line="276"/>
        <w:jc w:val="both"/>
      </w:pPr>
      <w:r>
        <w:rPr>
          <w:rFonts w:ascii="Arial" w:cs="Arial" w:eastAsia="Arial" w:hAnsi="Arial"/>
          <w:b w:val="false"/>
          <w:bCs w:val="false"/>
          <w:i w:val="false"/>
          <w:iCs w:val="false"/>
          <w:color w:val="1A1A1A"/>
          <w:sz w:val="21"/>
          <w:szCs w:val="21"/>
        </w:rPr>
        <w:t xml:space="preserve">Für eure Dienstleister haftet ihr nach § 20 des Rahmenvertrags. Der Kunde muss bei Störungen mitwirken; wartet ihr auf ihn, ruht die Uhr.</w:t>
      </w:r>
    </w:p>
    <w:p>
      <w:pPr>
        <w:pStyle w:val="Heading2"/>
        <w:keepNext/>
        <w:spacing w:after="80" w:before="160"/>
      </w:pPr>
      <w:r>
        <w:rPr>
          <w:rFonts w:ascii="Arial" w:cs="Arial" w:eastAsia="Arial" w:hAnsi="Arial"/>
          <w:b/>
          <w:bCs/>
          <w:i w:val="false"/>
          <w:iCs w:val="false"/>
          <w:color w:val="0B0B0F"/>
          <w:sz w:val="21"/>
          <w:szCs w:val="21"/>
        </w:rPr>
        <w:t xml:space="preserve">Änderungsvorbehalt</w:t>
      </w:r>
    </w:p>
    <w:p>
      <w:pPr>
        <w:spacing w:after="120" w:line="276"/>
        <w:jc w:val="both"/>
      </w:pPr>
      <w:r>
        <w:rPr>
          <w:rFonts w:ascii="Arial" w:cs="Arial" w:eastAsia="Arial" w:hAnsi="Arial"/>
          <w:b w:val="false"/>
          <w:bCs w:val="false"/>
          <w:i w:val="false"/>
          <w:iCs w:val="false"/>
          <w:color w:val="1A1A1A"/>
          <w:sz w:val="21"/>
          <w:szCs w:val="21"/>
        </w:rPr>
        <w:t xml:space="preserve">Das SLA ändert ihr nur noch mit Zustimmung des Kunden, außer die Änderung ist nur zu seinen Gunsten.</w:t>
      </w:r>
    </w:p>
    <w:p>
      <w:pPr>
        <w:pStyle w:val="Heading2"/>
        <w:keepNext/>
        <w:spacing w:after="80" w:before="160"/>
      </w:pPr>
      <w:r>
        <w:rPr>
          <w:rFonts w:ascii="Arial" w:cs="Arial" w:eastAsia="Arial" w:hAnsi="Arial"/>
          <w:b/>
          <w:bCs/>
          <w:i w:val="false"/>
          <w:iCs w:val="false"/>
          <w:color w:val="0B0B0F"/>
          <w:sz w:val="21"/>
          <w:szCs w:val="21"/>
        </w:rPr>
        <w:t xml:space="preserve">Pflege bei Kauflizenz (Betrieb beim Kunden)</w:t>
      </w:r>
    </w:p>
    <w:p>
      <w:pPr>
        <w:spacing w:after="120" w:line="276"/>
        <w:jc w:val="both"/>
      </w:pPr>
      <w:r>
        <w:rPr>
          <w:rFonts w:ascii="Arial" w:cs="Arial" w:eastAsia="Arial" w:hAnsi="Arial"/>
          <w:b w:val="false"/>
          <w:bCs w:val="false"/>
          <w:i w:val="false"/>
          <w:iCs w:val="false"/>
          <w:color w:val="1A1A1A"/>
          <w:sz w:val="21"/>
          <w:szCs w:val="21"/>
        </w:rPr>
        <w:t xml:space="preserve">Neu: Mit Pflege gelten für die Kauflizenz dieselben Reaktionszeiten, ohne Pflege gibt es Support nur nach Aufwand. Eine Verfügbarkeit sagt ihr nicht zu, weil der Server beim Kunden steht. Sicherheitsupdates gibt es immer kostenlos – sobald der Update-Weg für Kundeninstallationen gebaut ist.</w:t>
      </w:r>
    </w:p>
    <w:p>
      <w:pPr>
        <w:pStyle w:val="Heading2"/>
        <w:keepNext/>
        <w:spacing w:after="80" w:before="160"/>
      </w:pPr>
      <w:r>
        <w:rPr>
          <w:rFonts w:ascii="Arial" w:cs="Arial" w:eastAsia="Arial" w:hAnsi="Arial"/>
          <w:b/>
          <w:bCs/>
          <w:i w:val="false"/>
          <w:iCs w:val="false"/>
          <w:color w:val="0B0B0F"/>
          <w:sz w:val="21"/>
          <w:szCs w:val="21"/>
        </w:rPr>
        <w:t xml:space="preserve">Unterschriften</w:t>
      </w:r>
    </w:p>
    <w:p>
      <w:pPr>
        <w:spacing w:after="120" w:line="276"/>
        <w:jc w:val="both"/>
      </w:pPr>
      <w:r>
        <w:rPr>
          <w:rFonts w:ascii="Arial" w:cs="Arial" w:eastAsia="Arial" w:hAnsi="Arial"/>
          <w:b w:val="false"/>
          <w:bCs w:val="false"/>
          <w:i w:val="false"/>
          <w:iCs w:val="false"/>
          <w:color w:val="1A1A1A"/>
          <w:sz w:val="21"/>
          <w:szCs w:val="21"/>
        </w:rPr>
        <w:t xml:space="preserve">Am Ende unterschreiben beide NexAI-Gesellschafter (Maximilian Trenk und Jason Brian Merklein) sowie der Kunde, jeweils mit Ort und Datum. Das macht die Anlage C rechtsverbindlich und Teil des Vertragswerks. Achtet darauf, dass wirklich alle drei Felder ausgefüllt und datiert sind, bevor der Betrieb startet, und beachtet den Hinweis, dass dies ein Entwurf ist, der vor dem echten Einsatz anwaltlich geprüft werden sollte.</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06 · Anlage D – Abnahmeprotokoll</w:t>
      </w:r>
    </w:p>
    <w:p>
      <w:pPr>
        <w:spacing w:after="120" w:line="276"/>
        <w:jc w:val="both"/>
      </w:pPr>
      <w:r>
        <w:rPr>
          <w:rFonts w:ascii="Arial" w:cs="Arial" w:eastAsia="Arial" w:hAnsi="Arial"/>
          <w:b w:val="false"/>
          <w:bCs w:val="false"/>
          <w:i w:val="false"/>
          <w:iCs w:val="false"/>
          <w:color w:val="1A1A1A"/>
          <w:sz w:val="21"/>
          <w:szCs w:val="21"/>
        </w:rPr>
        <w:t xml:space="preserve">Dieses Dokument ist das Formular, mit dem ein Kunde offiziell bestaetigt, dass ihr eine einmalige Projektleistung (z. B. die Einrichtung eines CRM oder die Ersteinrichtung eines Agenten) fertig und vertragsgemaess geliefert habt.</w:t>
      </w:r>
    </w:p>
    <w:p>
      <w:pPr>
        <w:pStyle w:val="Heading2"/>
        <w:keepNext/>
        <w:spacing w:after="80" w:before="160"/>
      </w:pPr>
      <w:r>
        <w:rPr>
          <w:rFonts w:ascii="Arial" w:cs="Arial" w:eastAsia="Arial" w:hAnsi="Arial"/>
          <w:b/>
          <w:bCs/>
          <w:i w:val="false"/>
          <w:iCs w:val="false"/>
          <w:color w:val="0B0B0F"/>
          <w:sz w:val="21"/>
          <w:szCs w:val="21"/>
        </w:rPr>
        <w:t xml:space="preserve">Einleitung: Worum geht es in diesem Protokoll?</w:t>
      </w:r>
    </w:p>
    <w:p>
      <w:pPr>
        <w:spacing w:after="120" w:line="276"/>
        <w:jc w:val="both"/>
      </w:pPr>
      <w:r>
        <w:rPr>
          <w:rFonts w:ascii="Arial" w:cs="Arial" w:eastAsia="Arial" w:hAnsi="Arial"/>
          <w:b w:val="false"/>
          <w:bCs w:val="false"/>
          <w:i w:val="false"/>
          <w:iCs w:val="false"/>
          <w:color w:val="1A1A1A"/>
          <w:sz w:val="21"/>
          <w:szCs w:val="21"/>
        </w:rPr>
        <w:t xml:space="preserve">Hier steht, dass dieses Protokoll die Abnahme eurer einmaligen Werkleistungen dokumentiert, also fertige Projekte wie die Einrichtung einer Anwendung oder die Ersteinrichtung eines Agenten. Praktisch heisst das: mit diesem unterschriebenen Blatt ist ein Projekt offiziell abgenommen und wird Teil eures Vertrags mit dem Kunden. Achtet darauf, dass es nur einmalige Projekte betrifft, nicht den laufenden Betrieb, und dass es immer zusammen mit Rahmenvertrag und Auftragsformular gilt.</w:t>
      </w:r>
    </w:p>
    <w:p>
      <w:pPr>
        <w:pStyle w:val="Heading2"/>
        <w:keepNext/>
        <w:spacing w:after="80" w:before="160"/>
      </w:pPr>
      <w:r>
        <w:rPr>
          <w:rFonts w:ascii="Arial" w:cs="Arial" w:eastAsia="Arial" w:hAnsi="Arial"/>
          <w:b/>
          <w:bCs/>
          <w:i w:val="false"/>
          <w:iCs w:val="false"/>
          <w:color w:val="0B0B0F"/>
          <w:sz w:val="21"/>
          <w:szCs w:val="21"/>
        </w:rPr>
        <w:t xml:space="preserve">Parteien (Auftragnehmer / Kunde)</w:t>
      </w:r>
    </w:p>
    <w:p>
      <w:pPr>
        <w:spacing w:after="120" w:line="276"/>
        <w:jc w:val="both"/>
      </w:pPr>
      <w:r>
        <w:rPr>
          <w:rFonts w:ascii="Arial" w:cs="Arial" w:eastAsia="Arial" w:hAnsi="Arial"/>
          <w:b w:val="false"/>
          <w:bCs w:val="false"/>
          <w:i w:val="false"/>
          <w:iCs w:val="false"/>
          <w:color w:val="1A1A1A"/>
          <w:sz w:val="21"/>
          <w:szCs w:val="21"/>
        </w:rPr>
        <w:t xml:space="preserve">Hier stehen die Vertragspartner: ihr als NexAI GbR (mit euren beiden Namen und Kontaktdaten) und der Kunde, dessen Daten in die Felder eingetragen werden. Das legt eindeutig fest, wer die Leistung erbracht hat und wer sie abnimmt. Achtet darauf, die Kundenfelder (Firma, Ansprechpartner, Anschrift, E-Mail, Telefon) vollstaendig auszufuellen, damit klar ist, wer unterschreibt und wer im Streitfall gemeint ist.</w:t>
      </w:r>
    </w:p>
    <w:p>
      <w:pPr>
        <w:pStyle w:val="Heading2"/>
        <w:keepNext/>
        <w:spacing w:after="80" w:before="160"/>
      </w:pPr>
      <w:r>
        <w:rPr>
          <w:rFonts w:ascii="Arial" w:cs="Arial" w:eastAsia="Arial" w:hAnsi="Arial"/>
          <w:b/>
          <w:bCs/>
          <w:i w:val="false"/>
          <w:iCs w:val="false"/>
          <w:color w:val="0B0B0F"/>
          <w:sz w:val="21"/>
          <w:szCs w:val="21"/>
        </w:rPr>
        <w:t xml:space="preserve">Projekt-/Feldangaben</w:t>
      </w:r>
    </w:p>
    <w:p>
      <w:pPr>
        <w:spacing w:after="120" w:line="276"/>
        <w:jc w:val="both"/>
      </w:pPr>
      <w:r>
        <w:rPr>
          <w:rFonts w:ascii="Arial" w:cs="Arial" w:eastAsia="Arial" w:hAnsi="Arial"/>
          <w:b w:val="false"/>
          <w:bCs w:val="false"/>
          <w:i w:val="false"/>
          <w:iCs w:val="false"/>
          <w:color w:val="1A1A1A"/>
          <w:sz w:val="21"/>
          <w:szCs w:val="21"/>
        </w:rPr>
        <w:t xml:space="preserve">Hier tragt ihr die konkreten Eckdaten des Projekts ein: Bezeichnung, Nummer des Auftragsformulars, Start, Datum der Fertigmeldung, Abnahmedatum und Ort. Damit ist genau dokumentiert, welches Projekt abgenommen wird und wann das passiert. Wichtig ist vor allem das Abnahmedatum, denn ab da laufen Fristen und Zahlungen, also sorgfaeltig und korrekt eintragen.</w:t>
      </w:r>
    </w:p>
    <w:p>
      <w:pPr>
        <w:pStyle w:val="Heading2"/>
        <w:keepNext/>
        <w:spacing w:after="80" w:before="160"/>
      </w:pPr>
      <w:r>
        <w:rPr>
          <w:rFonts w:ascii="Arial" w:cs="Arial" w:eastAsia="Arial" w:hAnsi="Arial"/>
          <w:b/>
          <w:bCs/>
          <w:i w:val="false"/>
          <w:iCs w:val="false"/>
          <w:color w:val="0B0B0F"/>
          <w:sz w:val="21"/>
          <w:szCs w:val="21"/>
        </w:rPr>
        <w:t xml:space="preserve">Gegenstand der Abnahme</w:t>
      </w:r>
    </w:p>
    <w:p>
      <w:pPr>
        <w:spacing w:after="120" w:line="276"/>
        <w:jc w:val="both"/>
      </w:pPr>
      <w:r>
        <w:rPr>
          <w:rFonts w:ascii="Arial" w:cs="Arial" w:eastAsia="Arial" w:hAnsi="Arial"/>
          <w:b w:val="false"/>
          <w:bCs w:val="false"/>
          <w:i w:val="false"/>
          <w:iCs w:val="false"/>
          <w:color w:val="1A1A1A"/>
          <w:sz w:val="21"/>
          <w:szCs w:val="21"/>
        </w:rPr>
        <w:t xml:space="preserve">Hier wird festgelegt, dass nur die im Auftragsformular und in Anlage A beschriebenen Projektleistungen abgenommen werden und dass dafuer Werkvertragsrecht gilt, waehrend laufender Betrieb (Wartung, Hosting, Support) ausdruecklich nicht dazugehoert. Fuer euch heisst das: die Abnahme deckt nur das ab, was schriftlich vereinbart war, und Extrawuensche werden separat beauftragt und bezahlt. Achtet darauf, dass ihr bei mehreren Teilen auch Teilabnahmen mit eigenem Protokoll machen koennt, wenn Sachen zu verschiedenen Zeitpunkten fertig werden.</w:t>
      </w:r>
    </w:p>
    <w:p>
      <w:pPr>
        <w:pStyle w:val="Heading2"/>
        <w:keepNext/>
        <w:spacing w:after="80" w:before="160"/>
      </w:pPr>
      <w:r>
        <w:rPr>
          <w:rFonts w:ascii="Arial" w:cs="Arial" w:eastAsia="Arial" w:hAnsi="Arial"/>
          <w:b/>
          <w:bCs/>
          <w:i w:val="false"/>
          <w:iCs w:val="false"/>
          <w:color w:val="0B0B0F"/>
          <w:sz w:val="21"/>
          <w:szCs w:val="21"/>
        </w:rPr>
        <w:t xml:space="preserve">Gelieferte Leistungen</w:t>
      </w:r>
    </w:p>
    <w:p>
      <w:pPr>
        <w:spacing w:after="120" w:line="276"/>
        <w:jc w:val="both"/>
      </w:pPr>
      <w:r>
        <w:rPr>
          <w:rFonts w:ascii="Arial" w:cs="Arial" w:eastAsia="Arial" w:hAnsi="Arial"/>
          <w:b w:val="false"/>
          <w:bCs w:val="false"/>
          <w:i w:val="false"/>
          <w:iCs w:val="false"/>
          <w:color w:val="1A1A1A"/>
          <w:sz w:val="21"/>
          <w:szCs w:val="21"/>
        </w:rPr>
        <w:t xml:space="preserve">Ankreuzliste der gelieferten Leistungen; neu sind der Mailagent und die CRM-Installation beim Kunden. Nur ankreuzen, was wirklich geliefert ist.</w:t>
      </w:r>
    </w:p>
    <w:p>
      <w:pPr>
        <w:pStyle w:val="Heading2"/>
        <w:keepNext/>
        <w:spacing w:after="80" w:before="160"/>
      </w:pPr>
      <w:r>
        <w:rPr>
          <w:rFonts w:ascii="Arial" w:cs="Arial" w:eastAsia="Arial" w:hAnsi="Arial"/>
          <w:b/>
          <w:bCs/>
          <w:i w:val="false"/>
          <w:iCs w:val="false"/>
          <w:color w:val="0B0B0F"/>
          <w:sz w:val="21"/>
          <w:szCs w:val="21"/>
        </w:rPr>
        <w:t xml:space="preserve">Dokumentation und Übergabe</w:t>
      </w:r>
    </w:p>
    <w:p>
      <w:pPr>
        <w:spacing w:after="120" w:line="276"/>
        <w:jc w:val="both"/>
      </w:pPr>
      <w:r>
        <w:rPr>
          <w:rFonts w:ascii="Arial" w:cs="Arial" w:eastAsia="Arial" w:hAnsi="Arial"/>
          <w:b w:val="false"/>
          <w:bCs w:val="false"/>
          <w:i w:val="false"/>
          <w:iCs w:val="false"/>
          <w:color w:val="1A1A1A"/>
          <w:sz w:val="21"/>
          <w:szCs w:val="21"/>
        </w:rPr>
        <w:t xml:space="preserve">Hier hakt ihr ab, was ihr bei der Uebergabe bereitgestellt habt, z. B. Zugaenge, Schulung, Bedienhinweise, KI-Kennzeichnung und Support-Ansprechpartner. Das dokumentiert, dass der Kunde alles Noetige bekommen hat, um das Ergebnis zu nutzen. Wichtig: der Punkt haelt fest, dass Accounts und Infrastruktur als eure Betriebsmittel bei euch bleiben und der Kunde keinen Herausgabeanspruch hat, und die KI-Kennzeichnung nach EU-Recht muss aktiv sein.</w:t>
      </w:r>
    </w:p>
    <w:p>
      <w:pPr>
        <w:pStyle w:val="Heading2"/>
        <w:keepNext/>
        <w:spacing w:after="80" w:before="160"/>
      </w:pPr>
      <w:r>
        <w:rPr>
          <w:rFonts w:ascii="Arial" w:cs="Arial" w:eastAsia="Arial" w:hAnsi="Arial"/>
          <w:b/>
          <w:bCs/>
          <w:i w:val="false"/>
          <w:iCs w:val="false"/>
          <w:color w:val="0B0B0F"/>
          <w:sz w:val="21"/>
          <w:szCs w:val="21"/>
        </w:rPr>
        <w:t xml:space="preserve">Restarbeiten</w:t>
      </w:r>
    </w:p>
    <w:p>
      <w:pPr>
        <w:spacing w:after="120" w:line="276"/>
        <w:jc w:val="both"/>
      </w:pPr>
      <w:r>
        <w:rPr>
          <w:rFonts w:ascii="Arial" w:cs="Arial" w:eastAsia="Arial" w:hAnsi="Arial"/>
          <w:b w:val="false"/>
          <w:bCs w:val="false"/>
          <w:i w:val="false"/>
          <w:iCs w:val="false"/>
          <w:color w:val="1A1A1A"/>
          <w:sz w:val="21"/>
          <w:szCs w:val="21"/>
        </w:rPr>
        <w:t xml:space="preserve">Hier wird angekreuzt, ob es bei der Abnahme noch offene Restarbeiten gibt, und falls ja, werden diese mit Frist beschrieben. Das trennt sauber 'im Grunde fertig' von 'kleine Dinge fehlen noch'. Achtet darauf, offene Punkte ehrlich und konkret mit einer realistischen Erledigungsfrist einzutragen, denn diese Liste ist eure verbindliche Zusage, was ihr noch nachliefert.</w:t>
      </w:r>
    </w:p>
    <w:p>
      <w:pPr>
        <w:pStyle w:val="Heading2"/>
        <w:keepNext/>
        <w:spacing w:after="80" w:before="160"/>
      </w:pPr>
      <w:r>
        <w:rPr>
          <w:rFonts w:ascii="Arial" w:cs="Arial" w:eastAsia="Arial" w:hAnsi="Arial"/>
          <w:b/>
          <w:bCs/>
          <w:i w:val="false"/>
          <w:iCs w:val="false"/>
          <w:color w:val="0B0B0F"/>
          <w:sz w:val="21"/>
          <w:szCs w:val="21"/>
        </w:rPr>
        <w:t xml:space="preserve">Mängel</w:t>
      </w:r>
    </w:p>
    <w:p>
      <w:pPr>
        <w:spacing w:after="120" w:line="276"/>
        <w:jc w:val="both"/>
      </w:pPr>
      <w:r>
        <w:rPr>
          <w:rFonts w:ascii="Arial" w:cs="Arial" w:eastAsia="Arial" w:hAnsi="Arial"/>
          <w:b w:val="false"/>
          <w:bCs w:val="false"/>
          <w:i w:val="false"/>
          <w:iCs w:val="false"/>
          <w:color w:val="1A1A1A"/>
          <w:sz w:val="21"/>
          <w:szCs w:val="21"/>
        </w:rPr>
        <w:t xml:space="preserve">Bekannte Mängel müssen bei der Abnahme vorbehalten werden, sonst verliert der Kunde für sie Nacherfüllung, Rücktritt und Minderung – Schadensersatz bleibt. Der Satz war vorher verdreht und ist jetzt klar.</w:t>
      </w:r>
    </w:p>
    <w:p>
      <w:pPr>
        <w:pStyle w:val="Heading2"/>
        <w:keepNext/>
        <w:spacing w:after="80" w:before="160"/>
      </w:pPr>
      <w:r>
        <w:rPr>
          <w:rFonts w:ascii="Arial" w:cs="Arial" w:eastAsia="Arial" w:hAnsi="Arial"/>
          <w:b/>
          <w:bCs/>
          <w:i w:val="false"/>
          <w:iCs w:val="false"/>
          <w:color w:val="0B0B0F"/>
          <w:sz w:val="21"/>
          <w:szCs w:val="21"/>
        </w:rPr>
        <w:t xml:space="preserve">Abnahmeerklärung</w:t>
      </w:r>
    </w:p>
    <w:p>
      <w:pPr>
        <w:spacing w:after="120" w:line="276"/>
        <w:jc w:val="both"/>
      </w:pPr>
      <w:r>
        <w:rPr>
          <w:rFonts w:ascii="Arial" w:cs="Arial" w:eastAsia="Arial" w:hAnsi="Arial"/>
          <w:b w:val="false"/>
          <w:bCs w:val="false"/>
          <w:i w:val="false"/>
          <w:iCs w:val="false"/>
          <w:color w:val="1A1A1A"/>
          <w:sz w:val="21"/>
          <w:szCs w:val="21"/>
        </w:rPr>
        <w:t xml:space="preserve">Kleine Mängel verhindern die Abnahme nicht. Rügt der Kunde nach eurer Fertigmeldung zehn Werktage keinen Mangel, gilt das Projekt als abgenommen. Die Verjährung beträgt ein Jahr ab gesetzlichem Beginn.</w:t>
      </w:r>
    </w:p>
    <w:p>
      <w:pPr>
        <w:pStyle w:val="Heading2"/>
        <w:keepNext/>
        <w:spacing w:after="80" w:before="160"/>
      </w:pPr>
      <w:r>
        <w:rPr>
          <w:rFonts w:ascii="Arial" w:cs="Arial" w:eastAsia="Arial" w:hAnsi="Arial"/>
          <w:b/>
          <w:bCs/>
          <w:i w:val="false"/>
          <w:iCs w:val="false"/>
          <w:color w:val="0B0B0F"/>
          <w:sz w:val="21"/>
          <w:szCs w:val="21"/>
        </w:rPr>
        <w:t xml:space="preserve">Unterschriften und Schlusshinweis</w:t>
      </w:r>
    </w:p>
    <w:p>
      <w:pPr>
        <w:spacing w:after="120" w:line="276"/>
        <w:jc w:val="both"/>
      </w:pPr>
      <w:r>
        <w:rPr>
          <w:rFonts w:ascii="Arial" w:cs="Arial" w:eastAsia="Arial" w:hAnsi="Arial"/>
          <w:b w:val="false"/>
          <w:bCs w:val="false"/>
          <w:i w:val="false"/>
          <w:iCs w:val="false"/>
          <w:color w:val="1A1A1A"/>
          <w:sz w:val="21"/>
          <w:szCs w:val="21"/>
        </w:rPr>
        <w:t xml:space="preserve">Beide Gesellschafter und der Kunde unterschreiben. Schlussvermerk: Entwurf, von NexAI erstellt, anwaltliche Prüfung folgt.</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07 · SEPA-Firmenlastschriftmandat</w:t>
      </w:r>
    </w:p>
    <w:p>
      <w:pPr>
        <w:spacing w:after="120" w:line="276"/>
        <w:jc w:val="both"/>
      </w:pPr>
      <w:r>
        <w:rPr>
          <w:rFonts w:ascii="Arial" w:cs="Arial" w:eastAsia="Arial" w:hAnsi="Arial"/>
          <w:b w:val="false"/>
          <w:bCs w:val="false"/>
          <w:i w:val="false"/>
          <w:iCs w:val="false"/>
          <w:color w:val="1A1A1A"/>
          <w:sz w:val="21"/>
          <w:szCs w:val="21"/>
        </w:rPr>
        <w:t xml:space="preserve">Mit diesem Formular erlaubt euch der Kunde, die vereinbarten Beiträge automatisch von seinem Firmenkonto per Lastschrift einzuziehen, statt dass ihr jeder Zahlung hinterherlaufen müsst.</w:t>
      </w:r>
    </w:p>
    <w:p>
      <w:pPr>
        <w:pStyle w:val="Heading2"/>
        <w:keepNext/>
        <w:spacing w:after="80" w:before="160"/>
      </w:pPr>
      <w:r>
        <w:rPr>
          <w:rFonts w:ascii="Arial" w:cs="Arial" w:eastAsia="Arial" w:hAnsi="Arial"/>
          <w:b/>
          <w:bCs/>
          <w:i w:val="false"/>
          <w:iCs w:val="false"/>
          <w:color w:val="0B0B0F"/>
          <w:sz w:val="21"/>
          <w:szCs w:val="21"/>
        </w:rPr>
        <w:t xml:space="preserve">Einleitung: Wozu dieses Mandat gehört</w:t>
      </w:r>
    </w:p>
    <w:p>
      <w:pPr>
        <w:spacing w:after="120" w:line="276"/>
        <w:jc w:val="both"/>
      </w:pPr>
      <w:r>
        <w:rPr>
          <w:rFonts w:ascii="Arial" w:cs="Arial" w:eastAsia="Arial" w:hAnsi="Arial"/>
          <w:b w:val="false"/>
          <w:bCs w:val="false"/>
          <w:i w:val="false"/>
          <w:iCs w:val="false"/>
          <w:color w:val="1A1A1A"/>
          <w:sz w:val="21"/>
          <w:szCs w:val="21"/>
        </w:rPr>
        <w:t xml:space="preserve">Dieses Blatt ist eine Ergänzung zum Hauptvertrag und zum Auftragsformular und regelt nur das Bezahlen per Lastschrift. Es erlaubt euch, die monatlichen bzw. jährlichen Beiträge und den Mehrverbrauch (Overage) direkt vom Kundenkonto abzubuchen. Ihr müsst wissen: Die eigentlichen Zahlungsregeln stehen weiterhin im Rahmenvertrag und in den AGB, dieses Mandat ist nur das technische Werkzeug dafür.</w:t>
      </w:r>
    </w:p>
    <w:p>
      <w:pPr>
        <w:pStyle w:val="Heading2"/>
        <w:keepNext/>
        <w:spacing w:after="80" w:before="160"/>
      </w:pPr>
      <w:r>
        <w:rPr>
          <w:rFonts w:ascii="Arial" w:cs="Arial" w:eastAsia="Arial" w:hAnsi="Arial"/>
          <w:b/>
          <w:bCs/>
          <w:i w:val="false"/>
          <w:iCs w:val="false"/>
          <w:color w:val="0B0B0F"/>
          <w:sz w:val="21"/>
          <w:szCs w:val="21"/>
        </w:rPr>
        <w:t xml:space="preserve">Zahlungsempfänger / Gläubiger</w:t>
      </w:r>
    </w:p>
    <w:p>
      <w:pPr>
        <w:spacing w:after="120" w:line="276"/>
        <w:jc w:val="both"/>
      </w:pPr>
      <w:r>
        <w:rPr>
          <w:rFonts w:ascii="Arial" w:cs="Arial" w:eastAsia="Arial" w:hAnsi="Arial"/>
          <w:b w:val="false"/>
          <w:bCs w:val="false"/>
          <w:i w:val="false"/>
          <w:iCs w:val="false"/>
          <w:color w:val="1A1A1A"/>
          <w:sz w:val="21"/>
          <w:szCs w:val="21"/>
        </w:rPr>
        <w:t xml:space="preserve">Hier steht, dass ihr (NexAI GbR mit Adresse, den beiden Gesellschaftern und Kontaktdaten) das Geld bekommt und der Einzieher seid. Zwei Felder müssen von euch noch ausgefüllt werden: die Gläubiger-ID und die Mandatsreferenz, die zusammen dieses Mandat eindeutig kennzeichnen. Wichtig: Die Gläubiger-ID müsst ihr bei der Deutschen Bundesbank beantragen, sonst könnt ihr gar nicht einziehen; die Mandatsreferenz könnt ihr auch später mit der ersten Ankündigung nachreichen.</w:t>
      </w:r>
    </w:p>
    <w:p>
      <w:pPr>
        <w:pStyle w:val="Heading2"/>
        <w:keepNext/>
        <w:spacing w:after="80" w:before="160"/>
      </w:pPr>
      <w:r>
        <w:rPr>
          <w:rFonts w:ascii="Arial" w:cs="Arial" w:eastAsia="Arial" w:hAnsi="Arial"/>
          <w:b/>
          <w:bCs/>
          <w:i w:val="false"/>
          <w:iCs w:val="false"/>
          <w:color w:val="0B0B0F"/>
          <w:sz w:val="21"/>
          <w:szCs w:val="21"/>
        </w:rPr>
        <w:t xml:space="preserve">Zahler / Kunde</w:t>
      </w:r>
    </w:p>
    <w:p>
      <w:pPr>
        <w:spacing w:after="120" w:line="276"/>
        <w:jc w:val="both"/>
      </w:pPr>
      <w:r>
        <w:rPr>
          <w:rFonts w:ascii="Arial" w:cs="Arial" w:eastAsia="Arial" w:hAnsi="Arial"/>
          <w:b w:val="false"/>
          <w:bCs w:val="false"/>
          <w:i w:val="false"/>
          <w:iCs w:val="false"/>
          <w:color w:val="1A1A1A"/>
          <w:sz w:val="21"/>
          <w:szCs w:val="21"/>
        </w:rPr>
        <w:t xml:space="preserve">Hier trägt der Kunde seine Firmendaten und vor allem seine Bankverbindung ein (Bank, IBAN, BIC). Für euch bedeutet das: Der Kunde muss ein Unternehmen sein, denn das Firmenlastschriftverfahren ist für Privatpersonen gar nicht erlaubt. Achtet darauf, dass der Kontoinhaber wirklich berechtigt ist, dieses Konto freizugeben, falls Kontoinhaber und Vertragspartner nicht dieselbe Person sind.</w:t>
      </w:r>
    </w:p>
    <w:p>
      <w:pPr>
        <w:pStyle w:val="Heading2"/>
        <w:keepNext/>
        <w:spacing w:after="80" w:before="160"/>
      </w:pPr>
      <w:r>
        <w:rPr>
          <w:rFonts w:ascii="Arial" w:cs="Arial" w:eastAsia="Arial" w:hAnsi="Arial"/>
          <w:b/>
          <w:bCs/>
          <w:i w:val="false"/>
          <w:iCs w:val="false"/>
          <w:color w:val="0B0B0F"/>
          <w:sz w:val="21"/>
          <w:szCs w:val="21"/>
        </w:rPr>
        <w:t xml:space="preserve">Mandatstext (SEPA-Firmenlastschrift)</w:t>
      </w:r>
    </w:p>
    <w:p>
      <w:pPr>
        <w:spacing w:after="120" w:line="276"/>
        <w:jc w:val="both"/>
      </w:pPr>
      <w:r>
        <w:rPr>
          <w:rFonts w:ascii="Arial" w:cs="Arial" w:eastAsia="Arial" w:hAnsi="Arial"/>
          <w:b w:val="false"/>
          <w:bCs w:val="false"/>
          <w:i w:val="false"/>
          <w:iCs w:val="false"/>
          <w:color w:val="1A1A1A"/>
          <w:sz w:val="21"/>
          <w:szCs w:val="21"/>
        </w:rPr>
        <w:t xml:space="preserve">Mit diesem Text erlaubt der Kunde euch offiziell, das Geld einzuziehen, und weist seine Bank an, die Abbuchungen einzulösen. Das Mandat gilt für alle wiederkehrenden Zahlungen (Beiträge und Overage) und läuft, bis der Kunde es widerruft. Besonders wichtig für euch: Beim Firmenlastschriftverfahren kann der Kunde nach der Abbuchung sein Geld NICHT einfach zurückholen (kein Erstattungsrecht wie bei Privat-Lastschrift), der Kunde muss sein Mandat aber vor dem ersten Einzug bei seiner Bank registrieren lassen, sonst platzt die Abbuchung, und Kontoänderungen oder ein Widerruf müssen euch schriftlich mitgeteilt werden.</w:t>
      </w:r>
    </w:p>
    <w:p>
      <w:pPr>
        <w:pStyle w:val="Heading2"/>
        <w:keepNext/>
        <w:spacing w:after="80" w:before="160"/>
      </w:pPr>
      <w:r>
        <w:rPr>
          <w:rFonts w:ascii="Arial" w:cs="Arial" w:eastAsia="Arial" w:hAnsi="Arial"/>
          <w:b/>
          <w:bCs/>
          <w:i w:val="false"/>
          <w:iCs w:val="false"/>
          <w:color w:val="0B0B0F"/>
          <w:sz w:val="21"/>
          <w:szCs w:val="21"/>
        </w:rPr>
        <w:t xml:space="preserve">Vorabankündigung (Pre-Notification)</w:t>
      </w:r>
    </w:p>
    <w:p>
      <w:pPr>
        <w:spacing w:after="120" w:line="276"/>
        <w:jc w:val="both"/>
      </w:pPr>
      <w:r>
        <w:rPr>
          <w:rFonts w:ascii="Arial" w:cs="Arial" w:eastAsia="Arial" w:hAnsi="Arial"/>
          <w:b w:val="false"/>
          <w:bCs w:val="false"/>
          <w:i w:val="false"/>
          <w:iCs w:val="false"/>
          <w:color w:val="1A1A1A"/>
          <w:sz w:val="21"/>
          <w:szCs w:val="21"/>
        </w:rPr>
        <w:t xml:space="preserve">Ihr müsst dem Kunden jede Abbuchung vorher ankündigen, aber die Frist ist auf nur einen Tag vor Fälligkeit verkürzt. Diese Ankündigung darf ganz einfach per E-Mail oder direkt auf der Rechnung stehen und muss Betrag und Datum nennen. Praktisch für euch: Bei gleichbleibenden Beiträgen reicht eine einzige Ankündigung am Anfang, nur wenn sich der Betrag ändert (z. B. durch Overage), müsst ihr den neuen Betrag rechtzeitig neu ankündigen.</w:t>
      </w:r>
    </w:p>
    <w:p>
      <w:pPr>
        <w:pStyle w:val="Heading2"/>
        <w:keepNext/>
        <w:spacing w:after="80" w:before="160"/>
      </w:pPr>
      <w:r>
        <w:rPr>
          <w:rFonts w:ascii="Arial" w:cs="Arial" w:eastAsia="Arial" w:hAnsi="Arial"/>
          <w:b/>
          <w:bCs/>
          <w:i w:val="false"/>
          <w:iCs w:val="false"/>
          <w:color w:val="0B0B0F"/>
          <w:sz w:val="21"/>
          <w:szCs w:val="21"/>
        </w:rPr>
        <w:t xml:space="preserve">Rücklastschriften</w:t>
      </w:r>
    </w:p>
    <w:p>
      <w:pPr>
        <w:spacing w:after="120" w:line="276"/>
        <w:jc w:val="both"/>
      </w:pPr>
      <w:r>
        <w:rPr>
          <w:rFonts w:ascii="Arial" w:cs="Arial" w:eastAsia="Arial" w:hAnsi="Arial"/>
          <w:b w:val="false"/>
          <w:bCs w:val="false"/>
          <w:i w:val="false"/>
          <w:iCs w:val="false"/>
          <w:color w:val="1A1A1A"/>
          <w:sz w:val="21"/>
          <w:szCs w:val="21"/>
        </w:rPr>
        <w:t xml:space="preserve">Wenn eine Abbuchung platzt, weil der Kunde schuld ist (kein Geld auf dem Konto, Mandat nicht registriert, Konto aufgelöst), muss der Kunde die Kosten tragen. Ihr dürft ihm die echten Bankgebühren der Rücklastschrift plus eine angemessene Bearbeitungspauschale in Rechnung stellen. Beachtet: Der Kunde darf beweisen, dass euer tatsächlicher Schaden geringer war, und weitergehende Schäden oder Verzugszinsen könnt ihr trotzdem zusätzlich geltend machen.</w:t>
      </w:r>
    </w:p>
    <w:p>
      <w:pPr>
        <w:pStyle w:val="Heading2"/>
        <w:keepNext/>
        <w:spacing w:after="80" w:before="160"/>
      </w:pPr>
      <w:r>
        <w:rPr>
          <w:rFonts w:ascii="Arial" w:cs="Arial" w:eastAsia="Arial" w:hAnsi="Arial"/>
          <w:b/>
          <w:bCs/>
          <w:i w:val="false"/>
          <w:iCs w:val="false"/>
          <w:color w:val="0B0B0F"/>
          <w:sz w:val="21"/>
          <w:szCs w:val="21"/>
        </w:rPr>
        <w:t xml:space="preserve">Zahlung per Überweisung (Fallback)</w:t>
      </w:r>
    </w:p>
    <w:p>
      <w:pPr>
        <w:spacing w:after="120" w:line="276"/>
        <w:jc w:val="both"/>
      </w:pPr>
      <w:r>
        <w:rPr>
          <w:rFonts w:ascii="Arial" w:cs="Arial" w:eastAsia="Arial" w:hAnsi="Arial"/>
          <w:b w:val="false"/>
          <w:bCs w:val="false"/>
          <w:i w:val="false"/>
          <w:iCs w:val="false"/>
          <w:color w:val="1A1A1A"/>
          <w:sz w:val="21"/>
          <w:szCs w:val="21"/>
        </w:rPr>
        <w:t xml:space="preserve">Falls es kein gültiges Mandat gibt oder der Einzug immer wieder scheitert, muss der Kunde stattdessen ganz normal überweisen. Das Geld muss dann so rechtzeitig raus, dass es spätestens am dritten Werktag vor Fälligkeit angewiesen ist und bei euch pünktlich ankommt. Für euch heißt das: Ihr bekommt euer Geld auch dann, wenn die Lastschrift nicht klappt, es wird nur umständlicher.</w:t>
      </w:r>
    </w:p>
    <w:p>
      <w:pPr>
        <w:pStyle w:val="Heading2"/>
        <w:keepNext/>
        <w:spacing w:after="80" w:before="160"/>
      </w:pPr>
      <w:r>
        <w:rPr>
          <w:rFonts w:ascii="Arial" w:cs="Arial" w:eastAsia="Arial" w:hAnsi="Arial"/>
          <w:b/>
          <w:bCs/>
          <w:i w:val="false"/>
          <w:iCs w:val="false"/>
          <w:color w:val="0B0B0F"/>
          <w:sz w:val="21"/>
          <w:szCs w:val="21"/>
        </w:rPr>
        <w:t xml:space="preserve">Ort, Datum, Unterschrift des Zahlers</w:t>
      </w:r>
    </w:p>
    <w:p>
      <w:pPr>
        <w:spacing w:after="120" w:line="276"/>
        <w:jc w:val="both"/>
      </w:pPr>
      <w:r>
        <w:rPr>
          <w:rFonts w:ascii="Arial" w:cs="Arial" w:eastAsia="Arial" w:hAnsi="Arial"/>
          <w:b w:val="false"/>
          <w:bCs w:val="false"/>
          <w:i w:val="false"/>
          <w:iCs w:val="false"/>
          <w:color w:val="1A1A1A"/>
          <w:sz w:val="21"/>
          <w:szCs w:val="21"/>
        </w:rPr>
        <w:t xml:space="preserve">Mit der Unterschrift bestätigt der Kunde, dass alle Angaben stimmen, und erteilt euch offiziell das Lastschriftmandat. Darunter ist ein Unterschriftsfeld für den Kunden (Ort/Datum, Name, Unterschrift und ggf. Firmenstempel). Wichtig für euch: Ohne diese Unterschrift ist das Mandat nicht gültig, und ganz am Ende steht der Hinweis, dass ihr für das ganze Verfahren zwingend eure Gläubiger-ID braucht und dieser Entwurf im Zweifel noch anwaltlich geprüft werden sollte.</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08 · AGB (B2B)</w:t>
      </w:r>
    </w:p>
    <w:p>
      <w:pPr>
        <w:spacing w:after="120" w:line="276"/>
        <w:jc w:val="both"/>
      </w:pPr>
      <w:r>
        <w:rPr>
          <w:rFonts w:ascii="Arial" w:cs="Arial" w:eastAsia="Arial" w:hAnsi="Arial"/>
          <w:b w:val="false"/>
          <w:bCs w:val="false"/>
          <w:i w:val="false"/>
          <w:iCs w:val="false"/>
          <w:color w:val="1A1A1A"/>
          <w:sz w:val="21"/>
          <w:szCs w:val="21"/>
        </w:rPr>
        <w:t xml:space="preserve">Das sind eure allgemeinen Geschäftsbedingungen für Geschäftskunden — die Standard-Spielregeln, die im Hintergrund für jeden Auftrag gelten, wenn im konkreten Vertrag nichts anderes steht.</w:t>
      </w:r>
    </w:p>
    <w:p>
      <w:pPr>
        <w:pStyle w:val="Heading2"/>
        <w:keepNext/>
        <w:spacing w:after="80" w:before="160"/>
      </w:pPr>
      <w:r>
        <w:rPr>
          <w:rFonts w:ascii="Arial" w:cs="Arial" w:eastAsia="Arial" w:hAnsi="Arial"/>
          <w:b/>
          <w:bCs/>
          <w:i w:val="false"/>
          <w:iCs w:val="false"/>
          <w:color w:val="0B0B0F"/>
          <w:sz w:val="21"/>
          <w:szCs w:val="21"/>
        </w:rPr>
        <w:t xml:space="preserve">§ 1 Geltungsbereich und Vorrang der Individualabreden</w:t>
      </w:r>
    </w:p>
    <w:p>
      <w:pPr>
        <w:spacing w:after="120" w:line="276"/>
        <w:jc w:val="both"/>
      </w:pPr>
      <w:r>
        <w:rPr>
          <w:rFonts w:ascii="Arial" w:cs="Arial" w:eastAsia="Arial" w:hAnsi="Arial"/>
          <w:b w:val="false"/>
          <w:bCs w:val="false"/>
          <w:i w:val="false"/>
          <w:iCs w:val="false"/>
          <w:color w:val="1A1A1A"/>
          <w:sz w:val="21"/>
          <w:szCs w:val="21"/>
        </w:rPr>
        <w:t xml:space="preserve">Die AGB gelten nur für Unternehmer. Für die Rangfolge verweisen sie jetzt auf den Rahmenvertrag, damit es keine zwei Rangfolgen mehr gibt. Fremde Einkaufsbedingungen gelten nicht.</w:t>
      </w:r>
    </w:p>
    <w:p>
      <w:pPr>
        <w:pStyle w:val="Heading2"/>
        <w:keepNext/>
        <w:spacing w:after="80" w:before="160"/>
      </w:pPr>
      <w:r>
        <w:rPr>
          <w:rFonts w:ascii="Arial" w:cs="Arial" w:eastAsia="Arial" w:hAnsi="Arial"/>
          <w:b/>
          <w:bCs/>
          <w:i w:val="false"/>
          <w:iCs w:val="false"/>
          <w:color w:val="0B0B0F"/>
          <w:sz w:val="21"/>
          <w:szCs w:val="21"/>
        </w:rPr>
        <w:t xml:space="preserve">§ 2 Leistungen</w:t>
      </w:r>
    </w:p>
    <w:p>
      <w:pPr>
        <w:spacing w:after="120" w:line="276"/>
        <w:jc w:val="both"/>
      </w:pPr>
      <w:r>
        <w:rPr>
          <w:rFonts w:ascii="Arial" w:cs="Arial" w:eastAsia="Arial" w:hAnsi="Arial"/>
          <w:b w:val="false"/>
          <w:bCs w:val="false"/>
          <w:i w:val="false"/>
          <w:iCs w:val="false"/>
          <w:color w:val="1A1A1A"/>
          <w:sz w:val="21"/>
          <w:szCs w:val="21"/>
        </w:rPr>
        <w:t xml:space="preserve">Agenten und Anwendungen (jetzt mit Mailagent und Kauflizenz). Leistungsänderungen nur, wenn sie für den Kunden zumutbar sind; fällt eine Funktion weg, sechs Wochen Ankündigung und Kündigungsrecht.</w:t>
      </w:r>
    </w:p>
    <w:p>
      <w:pPr>
        <w:pStyle w:val="Heading2"/>
        <w:keepNext/>
        <w:spacing w:after="80" w:before="160"/>
      </w:pPr>
      <w:r>
        <w:rPr>
          <w:rFonts w:ascii="Arial" w:cs="Arial" w:eastAsia="Arial" w:hAnsi="Arial"/>
          <w:b/>
          <w:bCs/>
          <w:i w:val="false"/>
          <w:iCs w:val="false"/>
          <w:color w:val="0B0B0F"/>
          <w:sz w:val="21"/>
          <w:szCs w:val="21"/>
        </w:rPr>
        <w:t xml:space="preserve">§ 3 Angebot und Vertragsschluss</w:t>
      </w:r>
    </w:p>
    <w:p>
      <w:pPr>
        <w:spacing w:after="120" w:line="276"/>
        <w:jc w:val="both"/>
      </w:pPr>
      <w:r>
        <w:rPr>
          <w:rFonts w:ascii="Arial" w:cs="Arial" w:eastAsia="Arial" w:hAnsi="Arial"/>
          <w:b w:val="false"/>
          <w:bCs w:val="false"/>
          <w:i w:val="false"/>
          <w:iCs w:val="false"/>
          <w:color w:val="1A1A1A"/>
          <w:sz w:val="21"/>
          <w:szCs w:val="21"/>
        </w:rPr>
        <w:t xml:space="preserve">Angebote sind unverbindlich, der Vertrag entsteht mit dem Auftragsformular. Neu: Vertriebspartner dürfen keine Zusagen machen, die vom Vertrag abweichen – das schützt besser als die alte Schriftformklausel.</w:t>
      </w:r>
    </w:p>
    <w:p>
      <w:pPr>
        <w:pStyle w:val="Heading2"/>
        <w:keepNext/>
        <w:spacing w:after="80" w:before="160"/>
      </w:pPr>
      <w:r>
        <w:rPr>
          <w:rFonts w:ascii="Arial" w:cs="Arial" w:eastAsia="Arial" w:hAnsi="Arial"/>
          <w:b/>
          <w:bCs/>
          <w:i w:val="false"/>
          <w:iCs w:val="false"/>
          <w:color w:val="0B0B0F"/>
          <w:sz w:val="21"/>
          <w:szCs w:val="21"/>
        </w:rPr>
        <w:t xml:space="preserve">§ 4 Preise und Zahlungsbedingungen</w:t>
      </w:r>
    </w:p>
    <w:p>
      <w:pPr>
        <w:spacing w:after="120" w:line="276"/>
        <w:jc w:val="both"/>
      </w:pPr>
      <w:r>
        <w:rPr>
          <w:rFonts w:ascii="Arial" w:cs="Arial" w:eastAsia="Arial" w:hAnsi="Arial"/>
          <w:b w:val="false"/>
          <w:bCs w:val="false"/>
          <w:i w:val="false"/>
          <w:iCs w:val="false"/>
          <w:color w:val="1A1A1A"/>
          <w:sz w:val="21"/>
          <w:szCs w:val="21"/>
        </w:rPr>
        <w:t xml:space="preserve">Wie im Rahmenvertrag: 14 Tage Zahlungsziel, Verzugszinsen, Aussetzung erst nach sieben Tagen Nachfrist, Aufrechnung wegen Mängeln immer möglich.</w:t>
      </w:r>
    </w:p>
    <w:p>
      <w:pPr>
        <w:pStyle w:val="Heading2"/>
        <w:keepNext/>
        <w:spacing w:after="80" w:before="160"/>
      </w:pPr>
      <w:r>
        <w:rPr>
          <w:rFonts w:ascii="Arial" w:cs="Arial" w:eastAsia="Arial" w:hAnsi="Arial"/>
          <w:b/>
          <w:bCs/>
          <w:i w:val="false"/>
          <w:iCs w:val="false"/>
          <w:color w:val="0B0B0F"/>
          <w:sz w:val="21"/>
          <w:szCs w:val="21"/>
        </w:rPr>
        <w:t xml:space="preserve">§ 5 Änderung von Preisen und Bedingungen</w:t>
      </w:r>
    </w:p>
    <w:p>
      <w:pPr>
        <w:spacing w:after="120" w:line="276"/>
        <w:jc w:val="both"/>
      </w:pPr>
      <w:r>
        <w:rPr>
          <w:rFonts w:ascii="Arial" w:cs="Arial" w:eastAsia="Arial" w:hAnsi="Arial"/>
          <w:b w:val="false"/>
          <w:bCs w:val="false"/>
          <w:i w:val="false"/>
          <w:iCs w:val="false"/>
          <w:color w:val="1A1A1A"/>
          <w:sz w:val="21"/>
          <w:szCs w:val="21"/>
        </w:rPr>
        <w:t xml:space="preserve">Preise ändern sich nur nach § 7 des Rahmenvertrags (kostenbasiert). Andere AGB-Änderungen brauchen die Zustimmung des Kunden; bloßes Weiternutzen reicht nicht mehr.</w:t>
      </w:r>
    </w:p>
    <w:p>
      <w:pPr>
        <w:pStyle w:val="Heading2"/>
        <w:keepNext/>
        <w:spacing w:after="80" w:before="160"/>
      </w:pPr>
      <w:r>
        <w:rPr>
          <w:rFonts w:ascii="Arial" w:cs="Arial" w:eastAsia="Arial" w:hAnsi="Arial"/>
          <w:b/>
          <w:bCs/>
          <w:i w:val="false"/>
          <w:iCs w:val="false"/>
          <w:color w:val="0B0B0F"/>
          <w:sz w:val="21"/>
          <w:szCs w:val="21"/>
        </w:rPr>
        <w:t xml:space="preserve">§ 6 Mitwirkungspflichten und Änderungswünsche</w:t>
      </w:r>
    </w:p>
    <w:p>
      <w:pPr>
        <w:spacing w:after="120" w:line="276"/>
        <w:jc w:val="both"/>
      </w:pPr>
      <w:r>
        <w:rPr>
          <w:rFonts w:ascii="Arial" w:cs="Arial" w:eastAsia="Arial" w:hAnsi="Arial"/>
          <w:b w:val="false"/>
          <w:bCs w:val="false"/>
          <w:i w:val="false"/>
          <w:iCs w:val="false"/>
          <w:color w:val="1A1A1A"/>
          <w:sz w:val="21"/>
          <w:szCs w:val="21"/>
        </w:rPr>
        <w:t xml:space="preserve">Der Kunde muss euch rechtzeitig alle Infos, Inhalte, Zugänge und Freigaben liefern und einen festen Ansprechpartner benennen. Liefert er zu spät, verschieben sich eure Fristen und ihr könnt Mehraufwand extra abrechnen. Zusatzwünsche, die über das Vereinbarte hinausgehen, sind separat zu vereinbaren und werden nach Aufwand vergütet — das schützt euch vor unbezahltem Scope-Creep.</w:t>
      </w:r>
    </w:p>
    <w:p>
      <w:pPr>
        <w:pStyle w:val="Heading2"/>
        <w:keepNext/>
        <w:spacing w:after="80" w:before="160"/>
      </w:pPr>
      <w:r>
        <w:rPr>
          <w:rFonts w:ascii="Arial" w:cs="Arial" w:eastAsia="Arial" w:hAnsi="Arial"/>
          <w:b/>
          <w:bCs/>
          <w:i w:val="false"/>
          <w:iCs w:val="false"/>
          <w:color w:val="0B0B0F"/>
          <w:sz w:val="21"/>
          <w:szCs w:val="21"/>
        </w:rPr>
        <w:t xml:space="preserve">§ 7 Nutzungsrechte</w:t>
      </w:r>
    </w:p>
    <w:p>
      <w:pPr>
        <w:spacing w:after="120" w:line="276"/>
        <w:jc w:val="both"/>
      </w:pPr>
      <w:r>
        <w:rPr>
          <w:rFonts w:ascii="Arial" w:cs="Arial" w:eastAsia="Arial" w:hAnsi="Arial"/>
          <w:b w:val="false"/>
          <w:bCs w:val="false"/>
          <w:i w:val="false"/>
          <w:iCs w:val="false"/>
          <w:color w:val="1A1A1A"/>
          <w:sz w:val="21"/>
          <w:szCs w:val="21"/>
        </w:rPr>
        <w:t xml:space="preserve">Euer Know-how bleibt bei euch; Nutzungsrecht für die Vertragsdauer, außer bei Kauflizenz und Festpreis-App (Anlage E).</w:t>
      </w:r>
    </w:p>
    <w:p>
      <w:pPr>
        <w:pStyle w:val="Heading2"/>
        <w:keepNext/>
        <w:spacing w:after="80" w:before="160"/>
      </w:pPr>
      <w:r>
        <w:rPr>
          <w:rFonts w:ascii="Arial" w:cs="Arial" w:eastAsia="Arial" w:hAnsi="Arial"/>
          <w:b/>
          <w:bCs/>
          <w:i w:val="false"/>
          <w:iCs w:val="false"/>
          <w:color w:val="0B0B0F"/>
          <w:sz w:val="21"/>
          <w:szCs w:val="21"/>
        </w:rPr>
        <w:t xml:space="preserve">§ 8 Drittanbieter und Subunternehmer</w:t>
      </w:r>
    </w:p>
    <w:p>
      <w:pPr>
        <w:spacing w:after="120" w:line="276"/>
        <w:jc w:val="both"/>
      </w:pPr>
      <w:r>
        <w:rPr>
          <w:rFonts w:ascii="Arial" w:cs="Arial" w:eastAsia="Arial" w:hAnsi="Arial"/>
          <w:b w:val="false"/>
          <w:bCs w:val="false"/>
          <w:i w:val="false"/>
          <w:iCs w:val="false"/>
          <w:color w:val="1A1A1A"/>
          <w:sz w:val="21"/>
          <w:szCs w:val="21"/>
        </w:rPr>
        <w:t xml:space="preserve">Dienstleister stehen in Anlage B, Anhang 2. Für sie haftet ihr wie für eigenes Verschulden.</w:t>
      </w:r>
    </w:p>
    <w:p>
      <w:pPr>
        <w:pStyle w:val="Heading2"/>
        <w:keepNext/>
        <w:spacing w:after="80" w:before="160"/>
      </w:pPr>
      <w:r>
        <w:rPr>
          <w:rFonts w:ascii="Arial" w:cs="Arial" w:eastAsia="Arial" w:hAnsi="Arial"/>
          <w:b/>
          <w:bCs/>
          <w:i w:val="false"/>
          <w:iCs w:val="false"/>
          <w:color w:val="0B0B0F"/>
          <w:sz w:val="21"/>
          <w:szCs w:val="21"/>
        </w:rPr>
        <w:t xml:space="preserve">§ 9 KI-Systeme und Eigenverantwortung</w:t>
      </w:r>
    </w:p>
    <w:p>
      <w:pPr>
        <w:spacing w:after="120" w:line="276"/>
        <w:jc w:val="both"/>
      </w:pPr>
      <w:r>
        <w:rPr>
          <w:rFonts w:ascii="Arial" w:cs="Arial" w:eastAsia="Arial" w:hAnsi="Arial"/>
          <w:b w:val="false"/>
          <w:bCs w:val="false"/>
          <w:i w:val="false"/>
          <w:iCs w:val="false"/>
          <w:color w:val="1A1A1A"/>
          <w:sz w:val="21"/>
          <w:szCs w:val="21"/>
        </w:rPr>
        <w:t xml:space="preserve">KI ist nicht fehlerfrei, kein Erfolg geschuldet, kritische Ergebnisse prüft der Kunde – das gilt jetzt auch für den Mailagenten. Tonaufzeichnung und dauerhafte Mitschriften nur auf Weisung.</w:t>
      </w:r>
    </w:p>
    <w:p>
      <w:pPr>
        <w:pStyle w:val="Heading2"/>
        <w:keepNext/>
        <w:spacing w:after="80" w:before="160"/>
      </w:pPr>
      <w:r>
        <w:rPr>
          <w:rFonts w:ascii="Arial" w:cs="Arial" w:eastAsia="Arial" w:hAnsi="Arial"/>
          <w:b/>
          <w:bCs/>
          <w:i w:val="false"/>
          <w:iCs w:val="false"/>
          <w:color w:val="0B0B0F"/>
          <w:sz w:val="21"/>
          <w:szCs w:val="21"/>
        </w:rPr>
        <w:t xml:space="preserve">§ 10 Verfügbarkeit, Wartung und Support</w:t>
      </w:r>
    </w:p>
    <w:p>
      <w:pPr>
        <w:spacing w:after="120" w:line="276"/>
        <w:jc w:val="both"/>
      </w:pPr>
      <w:r>
        <w:rPr>
          <w:rFonts w:ascii="Arial" w:cs="Arial" w:eastAsia="Arial" w:hAnsi="Arial"/>
          <w:b w:val="false"/>
          <w:bCs w:val="false"/>
          <w:i w:val="false"/>
          <w:iCs w:val="false"/>
          <w:color w:val="1A1A1A"/>
          <w:sz w:val="21"/>
          <w:szCs w:val="21"/>
        </w:rPr>
        <w:t xml:space="preserve">Verfügbarkeit nach dem SLA; Wartung und Störungen bei Dienstleistern, die ihr nicht zu vertreten habt, sind kein Mangel.</w:t>
      </w:r>
    </w:p>
    <w:p>
      <w:pPr>
        <w:pStyle w:val="Heading2"/>
        <w:keepNext/>
        <w:spacing w:after="80" w:before="160"/>
      </w:pPr>
      <w:r>
        <w:rPr>
          <w:rFonts w:ascii="Arial" w:cs="Arial" w:eastAsia="Arial" w:hAnsi="Arial"/>
          <w:b/>
          <w:bCs/>
          <w:i w:val="false"/>
          <w:iCs w:val="false"/>
          <w:color w:val="0B0B0F"/>
          <w:sz w:val="21"/>
          <w:szCs w:val="21"/>
        </w:rPr>
        <w:t xml:space="preserve">§ 11 Haftung</w:t>
      </w:r>
    </w:p>
    <w:p>
      <w:pPr>
        <w:spacing w:after="120" w:line="276"/>
        <w:jc w:val="both"/>
      </w:pPr>
      <w:r>
        <w:rPr>
          <w:rFonts w:ascii="Arial" w:cs="Arial" w:eastAsia="Arial" w:hAnsi="Arial"/>
          <w:b w:val="false"/>
          <w:bCs w:val="false"/>
          <w:i w:val="false"/>
          <w:iCs w:val="false"/>
          <w:color w:val="1A1A1A"/>
          <w:sz w:val="21"/>
          <w:szCs w:val="21"/>
        </w:rPr>
        <w:t xml:space="preserve">Gleich wie im Rahmenvertrag: 25.000 EUR je Schadensfall oder die höhere Auftragssumme, kein Jahresdeckel, keine Haftung ohne Verschulden für anfängliche Mängel.</w:t>
      </w:r>
    </w:p>
    <w:p>
      <w:pPr>
        <w:pStyle w:val="Heading2"/>
        <w:keepNext/>
        <w:spacing w:after="80" w:before="160"/>
      </w:pPr>
      <w:r>
        <w:rPr>
          <w:rFonts w:ascii="Arial" w:cs="Arial" w:eastAsia="Arial" w:hAnsi="Arial"/>
          <w:b/>
          <w:bCs/>
          <w:i w:val="false"/>
          <w:iCs w:val="false"/>
          <w:color w:val="0B0B0F"/>
          <w:sz w:val="21"/>
          <w:szCs w:val="21"/>
        </w:rPr>
        <w:t xml:space="preserve">§ 12 Datenschutz</w:t>
      </w:r>
    </w:p>
    <w:p>
      <w:pPr>
        <w:spacing w:after="120" w:line="276"/>
        <w:jc w:val="both"/>
      </w:pPr>
      <w:r>
        <w:rPr>
          <w:rFonts w:ascii="Arial" w:cs="Arial" w:eastAsia="Arial" w:hAnsi="Arial"/>
          <w:b w:val="false"/>
          <w:bCs w:val="false"/>
          <w:i w:val="false"/>
          <w:iCs w:val="false"/>
          <w:color w:val="1A1A1A"/>
          <w:sz w:val="21"/>
          <w:szCs w:val="21"/>
        </w:rPr>
        <w:t xml:space="preserve">Verweist auf AVV und Rahmenvertrag; die pauschalen sechs Monate sind raus. Nach Vertragsende 30 Tage Export, dann Löschung mit unaufgeforderter Bestätigung.</w:t>
      </w:r>
    </w:p>
    <w:p>
      <w:pPr>
        <w:pStyle w:val="Heading2"/>
        <w:keepNext/>
        <w:spacing w:after="80" w:before="160"/>
      </w:pPr>
      <w:r>
        <w:rPr>
          <w:rFonts w:ascii="Arial" w:cs="Arial" w:eastAsia="Arial" w:hAnsi="Arial"/>
          <w:b/>
          <w:bCs/>
          <w:i w:val="false"/>
          <w:iCs w:val="false"/>
          <w:color w:val="0B0B0F"/>
          <w:sz w:val="21"/>
          <w:szCs w:val="21"/>
        </w:rPr>
        <w:t xml:space="preserve">§ 13 Vertraulichkeit</w:t>
      </w:r>
    </w:p>
    <w:p>
      <w:pPr>
        <w:spacing w:after="120" w:line="276"/>
        <w:jc w:val="both"/>
      </w:pPr>
      <w:r>
        <w:rPr>
          <w:rFonts w:ascii="Arial" w:cs="Arial" w:eastAsia="Arial" w:hAnsi="Arial"/>
          <w:b w:val="false"/>
          <w:bCs w:val="false"/>
          <w:i w:val="false"/>
          <w:iCs w:val="false"/>
          <w:color w:val="1A1A1A"/>
          <w:sz w:val="21"/>
          <w:szCs w:val="21"/>
        </w:rPr>
        <w:t xml:space="preserve">Beide Seiten müssen vertrauliche Informationen geheim halten und nur für den Vertrag nutzen. Die Pflicht gilt während der Zusammenarbeit und noch drei Jahre danach; allgemein bekannte oder rechtmäßig anderswo erhaltene Infos sind ausgenommen. An Subunternehmer dürft ihr weitergeben, solange die selbst zur Vertraulichkeit verpflichtet sind — das braucht ihr für euren Tech-Stack.</w:t>
      </w:r>
    </w:p>
    <w:p>
      <w:pPr>
        <w:pStyle w:val="Heading2"/>
        <w:keepNext/>
        <w:spacing w:after="80" w:before="160"/>
      </w:pPr>
      <w:r>
        <w:rPr>
          <w:rFonts w:ascii="Arial" w:cs="Arial" w:eastAsia="Arial" w:hAnsi="Arial"/>
          <w:b/>
          <w:bCs/>
          <w:i w:val="false"/>
          <w:iCs w:val="false"/>
          <w:color w:val="0B0B0F"/>
          <w:sz w:val="21"/>
          <w:szCs w:val="21"/>
        </w:rPr>
        <w:t xml:space="preserve">§ 14 Höhere Gewalt</w:t>
      </w:r>
    </w:p>
    <w:p>
      <w:pPr>
        <w:spacing w:after="120" w:line="276"/>
        <w:jc w:val="both"/>
      </w:pPr>
      <w:r>
        <w:rPr>
          <w:rFonts w:ascii="Arial" w:cs="Arial" w:eastAsia="Arial" w:hAnsi="Arial"/>
          <w:b w:val="false"/>
          <w:bCs w:val="false"/>
          <w:i w:val="false"/>
          <w:iCs w:val="false"/>
          <w:color w:val="1A1A1A"/>
          <w:sz w:val="21"/>
          <w:szCs w:val="21"/>
        </w:rPr>
        <w:t xml:space="preserve">Es gilt § 22 des Rahmenvertrags; damit gibt es keine zwei verschiedenen Regeln mehr.</w:t>
      </w:r>
    </w:p>
    <w:p>
      <w:pPr>
        <w:pStyle w:val="Heading2"/>
        <w:keepNext/>
        <w:spacing w:after="80" w:before="160"/>
      </w:pPr>
      <w:r>
        <w:rPr>
          <w:rFonts w:ascii="Arial" w:cs="Arial" w:eastAsia="Arial" w:hAnsi="Arial"/>
          <w:b/>
          <w:bCs/>
          <w:i w:val="false"/>
          <w:iCs w:val="false"/>
          <w:color w:val="0B0B0F"/>
          <w:sz w:val="21"/>
          <w:szCs w:val="21"/>
        </w:rPr>
        <w:t xml:space="preserve">§ 15 Referenzen</w:t>
      </w:r>
    </w:p>
    <w:p>
      <w:pPr>
        <w:spacing w:after="120" w:line="276"/>
        <w:jc w:val="both"/>
      </w:pPr>
      <w:r>
        <w:rPr>
          <w:rFonts w:ascii="Arial" w:cs="Arial" w:eastAsia="Arial" w:hAnsi="Arial"/>
          <w:b w:val="false"/>
          <w:bCs w:val="false"/>
          <w:i w:val="false"/>
          <w:iCs w:val="false"/>
          <w:color w:val="1A1A1A"/>
          <w:sz w:val="21"/>
          <w:szCs w:val="21"/>
        </w:rPr>
        <w:t xml:space="preserve">Ihr dürft den Kunden samt Name und Logo als Referenz nennen, aber nur mit vorheriger Zustimmung in Textform. Der Kunde kann diese Zustimmung jederzeit für die Zukunft widerrufen. Wenn ihr also einen Kunden auf eurer Website zeigen wollt, holt euch vorher kurz per E-Mail das Okay.</w:t>
      </w:r>
    </w:p>
    <w:p>
      <w:pPr>
        <w:pStyle w:val="Heading2"/>
        <w:keepNext/>
        <w:spacing w:after="80" w:before="160"/>
      </w:pPr>
      <w:r>
        <w:rPr>
          <w:rFonts w:ascii="Arial" w:cs="Arial" w:eastAsia="Arial" w:hAnsi="Arial"/>
          <w:b/>
          <w:bCs/>
          <w:i w:val="false"/>
          <w:iCs w:val="false"/>
          <w:color w:val="0B0B0F"/>
          <w:sz w:val="21"/>
          <w:szCs w:val="21"/>
        </w:rPr>
        <w:t xml:space="preserve">§ 16 Textform für Kundenerklärungen</w:t>
      </w:r>
    </w:p>
    <w:p>
      <w:pPr>
        <w:spacing w:after="120" w:line="276"/>
        <w:jc w:val="both"/>
      </w:pPr>
      <w:r>
        <w:rPr>
          <w:rFonts w:ascii="Arial" w:cs="Arial" w:eastAsia="Arial" w:hAnsi="Arial"/>
          <w:b w:val="false"/>
          <w:bCs w:val="false"/>
          <w:i w:val="false"/>
          <w:iCs w:val="false"/>
          <w:color w:val="1A1A1A"/>
          <w:sz w:val="21"/>
          <w:szCs w:val="21"/>
        </w:rPr>
        <w:t xml:space="preserve">Wichtige Erklärungen des Kunden — Kündigungen, Weisungen, Freigaben, Widersprüche — brauchen mindestens Textform (z. B. E-Mail). Mündliches am Telefon reicht nicht. Das gibt euch bei jedem Kunden einen klaren, nachweisbaren Papierweg für alle vertragsrelevanten Schritte.</w:t>
      </w:r>
    </w:p>
    <w:p>
      <w:pPr>
        <w:pStyle w:val="Heading2"/>
        <w:keepNext/>
        <w:spacing w:after="80" w:before="160"/>
      </w:pPr>
      <w:r>
        <w:rPr>
          <w:rFonts w:ascii="Arial" w:cs="Arial" w:eastAsia="Arial" w:hAnsi="Arial"/>
          <w:b/>
          <w:bCs/>
          <w:i w:val="false"/>
          <w:iCs w:val="false"/>
          <w:color w:val="0B0B0F"/>
          <w:sz w:val="21"/>
          <w:szCs w:val="21"/>
        </w:rPr>
        <w:t xml:space="preserve">§ 17 Schlussbestimmungen</w:t>
      </w:r>
    </w:p>
    <w:p>
      <w:pPr>
        <w:spacing w:after="120" w:line="276"/>
        <w:jc w:val="both"/>
      </w:pPr>
      <w:r>
        <w:rPr>
          <w:rFonts w:ascii="Arial" w:cs="Arial" w:eastAsia="Arial" w:hAnsi="Arial"/>
          <w:b w:val="false"/>
          <w:bCs w:val="false"/>
          <w:i w:val="false"/>
          <w:iCs w:val="false"/>
          <w:color w:val="1A1A1A"/>
          <w:sz w:val="21"/>
          <w:szCs w:val="21"/>
        </w:rPr>
        <w:t xml:space="preserve">Deutsches Recht; Gerichtsstand an eurem Sitz nur, wenn beide Seiten Kaufleute sind. Unwirksame Klauseln ersetzt das Gesetz.</w:t>
      </w:r>
    </w:p>
    <w:p>
      <w:pPr>
        <w:pStyle w:val="Heading2"/>
        <w:keepNext/>
        <w:spacing w:after="80" w:before="160"/>
      </w:pPr>
      <w:r>
        <w:rPr>
          <w:rFonts w:ascii="Arial" w:cs="Arial" w:eastAsia="Arial" w:hAnsi="Arial"/>
          <w:b/>
          <w:bCs/>
          <w:i w:val="false"/>
          <w:iCs w:val="false"/>
          <w:color w:val="0B0B0F"/>
          <w:sz w:val="21"/>
          <w:szCs w:val="21"/>
        </w:rPr>
        <w:t xml:space="preserve">Hinweis, Unterschriften und Entwurfsstatus</w:t>
      </w:r>
    </w:p>
    <w:p>
      <w:pPr>
        <w:spacing w:after="120" w:line="276"/>
        <w:jc w:val="both"/>
      </w:pPr>
      <w:r>
        <w:rPr>
          <w:rFonts w:ascii="Arial" w:cs="Arial" w:eastAsia="Arial" w:hAnsi="Arial"/>
          <w:b w:val="false"/>
          <w:bCs w:val="false"/>
          <w:i w:val="false"/>
          <w:iCs w:val="false"/>
          <w:color w:val="1A1A1A"/>
          <w:sz w:val="21"/>
          <w:szCs w:val="21"/>
        </w:rPr>
        <w:t xml:space="preserve">Schlussvermerk: Entwurf, von NexAI erstellt, anwaltliche Prüfung folgt. Die Haftungssumme von 25.000 EUR je Schadensfall hat Max am 18.10.2026 bestätigt.</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10 · Anlage E – Kauflizenz und Projektanwendungen</w:t>
      </w:r>
    </w:p>
    <w:p>
      <w:pPr>
        <w:spacing w:after="120" w:line="276"/>
        <w:jc w:val="both"/>
      </w:pPr>
      <w:r>
        <w:rPr>
          <w:rFonts w:ascii="Arial" w:cs="Arial" w:eastAsia="Arial" w:hAnsi="Arial"/>
          <w:b w:val="false"/>
          <w:bCs w:val="false"/>
          <w:i w:val="false"/>
          <w:iCs w:val="false"/>
          <w:color w:val="1A1A1A"/>
          <w:sz w:val="21"/>
          <w:szCs w:val="21"/>
        </w:rPr>
        <w:t xml:space="preserve">Neu: die Regeln für alles, was der Kunde einmal kauft – die CRM-Kauflizenz für seinen eigenen Server und die App zum Festpreis.</w:t>
      </w:r>
    </w:p>
    <w:p>
      <w:pPr>
        <w:pStyle w:val="Heading2"/>
        <w:keepNext/>
        <w:spacing w:after="80" w:before="160"/>
      </w:pPr>
      <w:r>
        <w:rPr>
          <w:rFonts w:ascii="Arial" w:cs="Arial" w:eastAsia="Arial" w:hAnsi="Arial"/>
          <w:b/>
          <w:bCs/>
          <w:i w:val="false"/>
          <w:iCs w:val="false"/>
          <w:color w:val="0B0B0F"/>
          <w:sz w:val="21"/>
          <w:szCs w:val="21"/>
        </w:rPr>
        <w:t xml:space="preserve">Nutzungsrecht</w:t>
      </w:r>
    </w:p>
    <w:p>
      <w:pPr>
        <w:spacing w:after="120" w:line="276"/>
        <w:jc w:val="both"/>
      </w:pPr>
      <w:r>
        <w:rPr>
          <w:rFonts w:ascii="Arial" w:cs="Arial" w:eastAsia="Arial" w:hAnsi="Arial"/>
          <w:b w:val="false"/>
          <w:bCs w:val="false"/>
          <w:i w:val="false"/>
          <w:iCs w:val="false"/>
          <w:color w:val="1A1A1A"/>
          <w:sz w:val="21"/>
          <w:szCs w:val="21"/>
        </w:rPr>
        <w:t xml:space="preserve">Wer die Lizenz bezahlt hat, darf das CRM dauerhaft nutzen, auch jede neuere Version. Geliefert werden fertige, signierte Programmpakete, kein Quelltext (Max, 18.10.2026). Ob der Kunde die Lizenz weitergeben darf, entscheidet Max noch.</w:t>
      </w:r>
    </w:p>
    <w:p>
      <w:pPr>
        <w:pStyle w:val="Heading2"/>
        <w:keepNext/>
        <w:spacing w:after="80" w:before="160"/>
      </w:pPr>
      <w:r>
        <w:rPr>
          <w:rFonts w:ascii="Arial" w:cs="Arial" w:eastAsia="Arial" w:hAnsi="Arial"/>
          <w:b/>
          <w:bCs/>
          <w:i w:val="false"/>
          <w:iCs w:val="false"/>
          <w:color w:val="0B0B0F"/>
          <w:sz w:val="21"/>
          <w:szCs w:val="21"/>
        </w:rPr>
        <w:t xml:space="preserve">Aktualisierungen und Unterstützungszeitraum</w:t>
      </w:r>
    </w:p>
    <w:p>
      <w:pPr>
        <w:spacing w:after="120" w:line="276"/>
        <w:jc w:val="both"/>
      </w:pPr>
      <w:r>
        <w:rPr>
          <w:rFonts w:ascii="Arial" w:cs="Arial" w:eastAsia="Arial" w:hAnsi="Arial"/>
          <w:b w:val="false"/>
          <w:bCs w:val="false"/>
          <w:i w:val="false"/>
          <w:iCs w:val="false"/>
          <w:color w:val="1A1A1A"/>
          <w:sz w:val="21"/>
          <w:szCs w:val="21"/>
        </w:rPr>
        <w:t xml:space="preserve">Sieben Jahre ab Kauf bekommt jeder Kunde die neueste Version mit Sicherheits- und Funktionsupdates kostenlos, auch ohne Pflege; das Enddatum steht im Auftragsformular. Dafür fehlt noch der Update-Weg für Kundeninstallationen – bis der gebaut ist, steht jede Update-Zusage unter „[setzt voraus: …]“.</w:t>
      </w:r>
    </w:p>
    <w:p>
      <w:pPr>
        <w:pStyle w:val="Heading2"/>
        <w:keepNext/>
        <w:spacing w:after="80" w:before="160"/>
      </w:pPr>
      <w:r>
        <w:rPr>
          <w:rFonts w:ascii="Arial" w:cs="Arial" w:eastAsia="Arial" w:hAnsi="Arial"/>
          <w:b/>
          <w:bCs/>
          <w:i w:val="false"/>
          <w:iCs w:val="false"/>
          <w:color w:val="0B0B0F"/>
          <w:sz w:val="21"/>
          <w:szCs w:val="21"/>
        </w:rPr>
        <w:t xml:space="preserve">Betrieb beim Kunden und Wartungszugang</w:t>
      </w:r>
    </w:p>
    <w:p>
      <w:pPr>
        <w:spacing w:after="120" w:line="276"/>
        <w:jc w:val="both"/>
      </w:pPr>
      <w:r>
        <w:rPr>
          <w:rFonts w:ascii="Arial" w:cs="Arial" w:eastAsia="Arial" w:hAnsi="Arial"/>
          <w:b w:val="false"/>
          <w:bCs w:val="false"/>
          <w:i w:val="false"/>
          <w:iCs w:val="false"/>
          <w:color w:val="1A1A1A"/>
          <w:sz w:val="21"/>
          <w:szCs w:val="21"/>
        </w:rPr>
        <w:t xml:space="preserve">Server, Verfügbarkeit und Datensicherung sind Sache des Kunden; Sicherheitsupdates muss er zügig einspielen oder euch über den Wartungszugang einspielen lassen. Jeden Zugriff dokumentiert ihr; Auftragsverarbeiter seid ihr nur bei diesen Zugriffen.</w:t>
      </w:r>
    </w:p>
    <w:p>
      <w:pPr>
        <w:pStyle w:val="Heading2"/>
        <w:keepNext/>
        <w:spacing w:after="80" w:before="160"/>
      </w:pPr>
      <w:r>
        <w:rPr>
          <w:rFonts w:ascii="Arial" w:cs="Arial" w:eastAsia="Arial" w:hAnsi="Arial"/>
          <w:b/>
          <w:bCs/>
          <w:i w:val="false"/>
          <w:iCs w:val="false"/>
          <w:color w:val="0B0B0F"/>
          <w:sz w:val="21"/>
          <w:szCs w:val="21"/>
        </w:rPr>
        <w:t xml:space="preserve">Pflege</w:t>
      </w:r>
    </w:p>
    <w:p>
      <w:pPr>
        <w:spacing w:after="120" w:line="276"/>
        <w:jc w:val="both"/>
      </w:pPr>
      <w:r>
        <w:rPr>
          <w:rFonts w:ascii="Arial" w:cs="Arial" w:eastAsia="Arial" w:hAnsi="Arial"/>
          <w:b w:val="false"/>
          <w:bCs w:val="false"/>
          <w:i w:val="false"/>
          <w:iCs w:val="false"/>
          <w:color w:val="1A1A1A"/>
          <w:sz w:val="21"/>
          <w:szCs w:val="21"/>
        </w:rPr>
        <w:t xml:space="preserve">Die Pflege (18 % des Listenpreises je Zugang und Jahr ab Jahr 2) ist nur noch Support und Reaktionszeit. Wer sie kündigt, behält Lizenz und Updates.</w:t>
      </w:r>
    </w:p>
    <w:p>
      <w:pPr>
        <w:pStyle w:val="Heading2"/>
        <w:keepNext/>
        <w:spacing w:after="80" w:before="160"/>
      </w:pPr>
      <w:r>
        <w:rPr>
          <w:rFonts w:ascii="Arial" w:cs="Arial" w:eastAsia="Arial" w:hAnsi="Arial"/>
          <w:b/>
          <w:bCs/>
          <w:i w:val="false"/>
          <w:iCs w:val="false"/>
          <w:color w:val="0B0B0F"/>
          <w:sz w:val="21"/>
          <w:szCs w:val="21"/>
        </w:rPr>
        <w:t xml:space="preserve">Festpreis-App</w:t>
      </w:r>
    </w:p>
    <w:p>
      <w:pPr>
        <w:spacing w:after="120" w:line="276"/>
        <w:jc w:val="both"/>
      </w:pPr>
      <w:r>
        <w:rPr>
          <w:rFonts w:ascii="Arial" w:cs="Arial" w:eastAsia="Arial" w:hAnsi="Arial"/>
          <w:b w:val="false"/>
          <w:bCs w:val="false"/>
          <w:i w:val="false"/>
          <w:iCs w:val="false"/>
          <w:color w:val="1A1A1A"/>
          <w:sz w:val="21"/>
          <w:szCs w:val="21"/>
        </w:rPr>
        <w:t xml:space="preserve">Die App ist ein Werk mit Abnahme; ihr betreibt sie im ersten Jahr und während der Pflege auf euren Servern. Was beim Ende der Pflege passiert (Vorschlag: lauffähiges Abbild an den Kunden), entscheidet Max.</w:t>
      </w:r>
    </w:p>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NexAI-Vertragswerk – einfach erklärt</dc:title>
  <dc:creator>NexAI</dc:creator>
  <cp:lastModifiedBy>Un-named</cp:lastModifiedBy>
  <cp:revision>1</cp:revision>
  <dcterms:created xsi:type="dcterms:W3CDTF">2026-10-18T22:09:49.630Z</dcterms:created>
  <dcterms:modified xsi:type="dcterms:W3CDTF">2026-10-18T22:09:49.630Z</dcterms:modified>
</cp:coreProperties>
</file>

<file path=docProps/custom.xml><?xml version="1.0" encoding="utf-8"?>
<Properties xmlns="http://schemas.openxmlformats.org/officeDocument/2006/custom-properties" xmlns:vt="http://schemas.openxmlformats.org/officeDocument/2006/docPropsVTypes"/>
</file>