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60"/>
        <w:jc w:val="left"/>
      </w:pPr>
      <w:r>
        <w:rPr>
          <w:rFonts w:ascii="Arial" w:cs="Arial" w:eastAsia="Arial" w:hAnsi="Arial"/>
          <w:b/>
          <w:bCs/>
          <w:i w:val="false"/>
          <w:iCs w:val="false"/>
          <w:color w:val="0B0B0F"/>
          <w:sz w:val="40"/>
          <w:szCs w:val="40"/>
        </w:rPr>
        <w:t xml:space="preserve">Richtlinie zur koordinierten Offenlegung von Schwachstellen</w:t>
      </w:r>
    </w:p>
    <w:p>
      <w:pPr>
        <w:pBdr>
          <w:bottom w:val="single" w:color="1F3A8A" w:sz="18" w:space="4"/>
        </w:pBdr>
        <w:spacing w:after="160"/>
      </w:pPr>
    </w:p>
    <w:p>
      <w:pPr>
        <w:spacing w:after="120"/>
      </w:pPr>
      <w:r>
        <w:rPr>
          <w:rFonts w:ascii="Arial" w:cs="Arial" w:eastAsia="Arial" w:hAnsi="Arial"/>
          <w:b w:val="false"/>
          <w:bCs w:val="false"/>
          <w:i w:val="false"/>
          <w:iCs w:val="false"/>
          <w:color w:val="6B7280"/>
          <w:sz w:val="24"/>
          <w:szCs w:val="24"/>
        </w:rPr>
        <w:t xml:space="preserve">Wie Sie uns Sicherheitslücken in Produkten und Diensten von NexAI melden – und was danach passiert</w:t>
      </w:r>
    </w:p>
    <w:p>
      <w:pPr>
        <w:spacing w:after="200"/>
      </w:pPr>
      <w:r>
        <w:rPr>
          <w:rFonts w:ascii="Arial" w:cs="Arial" w:eastAsia="Arial" w:hAnsi="Arial"/>
          <w:b w:val="false"/>
          <w:bCs w:val="false"/>
          <w:i w:val="false"/>
          <w:iCs w:val="false"/>
          <w:color w:val="6B7280"/>
          <w:sz w:val="18"/>
          <w:szCs w:val="18"/>
        </w:rPr>
        <w:t xml:space="preserve">Stand: Oktober 2026 · Fassung 1.0</w:t>
      </w:r>
    </w:p>
    <w:p>
      <w:pPr>
        <w:spacing w:after="140" w:before="80"/>
      </w:pPr>
      <w:r>
        <w:rPr>
          <w:rFonts w:ascii="Arial" w:cs="Arial" w:eastAsia="Arial" w:hAnsi="Arial"/>
          <w:b w:val="false"/>
          <w:bCs w:val="false"/>
          <w:i/>
          <w:iCs/>
          <w:color w:val="6B7280"/>
          <w:sz w:val="18"/>
          <w:szCs w:val="18"/>
        </w:rPr>
        <w:t xml:space="preserve">Entwurf – von NexAI erstellt, anwaltliche Prüfung folgt. Angaben in eckigen Klammern sind vor der Veröffentlichung zu bestätigen oder zu ergänzen.</w:t>
      </w:r>
    </w:p>
    <w:p>
      <w:pPr>
        <w:spacing w:after="80"/>
      </w:pPr>
      <w:r>
        <w:rPr>
          <w:sz w:val="2"/>
          <w:szCs w:val="2"/>
        </w:rPr>
        <w:t xml:space="preserve"/>
      </w:r>
    </w:p>
    <w:p>
      <w:pPr>
        <w:pStyle w:val="Heading1"/>
        <w:keepNext/>
        <w:spacing w:after="100" w:before="260"/>
      </w:pPr>
      <w:r>
        <w:rPr>
          <w:rFonts w:ascii="Arial" w:cs="Arial" w:eastAsia="Arial" w:hAnsi="Arial"/>
          <w:b/>
          <w:bCs/>
          <w:color w:val="1F3A8A"/>
          <w:sz w:val="24"/>
          <w:szCs w:val="24"/>
        </w:rPr>
        <w:t xml:space="preserve">1.  </w:t>
      </w:r>
      <w:r>
        <w:rPr>
          <w:rFonts w:ascii="Arial" w:cs="Arial" w:eastAsia="Arial" w:hAnsi="Arial"/>
          <w:b/>
          <w:bCs/>
          <w:i w:val="false"/>
          <w:iCs w:val="false"/>
          <w:color w:val="0B0B0F"/>
          <w:sz w:val="24"/>
          <w:szCs w:val="24"/>
        </w:rPr>
        <w:t xml:space="preserve">Worum es geht</w:t>
      </w:r>
    </w:p>
    <w:p>
      <w:pPr>
        <w:spacing w:after="120" w:line="276"/>
        <w:jc w:val="both"/>
      </w:pPr>
      <w:r>
        <w:rPr>
          <w:rFonts w:ascii="Arial" w:cs="Arial" w:eastAsia="Arial" w:hAnsi="Arial"/>
          <w:b w:val="false"/>
          <w:bCs w:val="false"/>
          <w:i w:val="false"/>
          <w:iCs w:val="false"/>
          <w:color w:val="1A1A1A"/>
          <w:sz w:val="21"/>
          <w:szCs w:val="21"/>
        </w:rPr>
        <w:t xml:space="preserve">Die </w:t>
      </w:r>
      <w:r>
        <w:rPr>
          <w:rFonts w:ascii="Arial" w:cs="Arial" w:eastAsia="Arial" w:hAnsi="Arial"/>
          <w:b/>
          <w:bCs/>
          <w:i w:val="false"/>
          <w:iCs w:val="false"/>
          <w:color w:val="1A1A1A"/>
          <w:sz w:val="21"/>
          <w:szCs w:val="21"/>
        </w:rPr>
        <w:t xml:space="preserve">NexAI – Next Generation Artificial Intelligence GbR</w:t>
      </w:r>
      <w:r>
        <w:rPr>
          <w:rFonts w:ascii="Arial" w:cs="Arial" w:eastAsia="Arial" w:hAnsi="Arial"/>
          <w:b w:val="false"/>
          <w:bCs w:val="false"/>
          <w:i w:val="false"/>
          <w:iCs w:val="false"/>
          <w:color w:val="1A1A1A"/>
          <w:sz w:val="21"/>
          <w:szCs w:val="21"/>
        </w:rPr>
        <w:t xml:space="preserve">, Untere Bergstraße 13, 74586 Frankenhardt-Honhardt (nachfolgend „NexAI“), nimmt Hinweise auf Schwachstellen ernst. Diese Richtlinie beschreibt, wie Sie uns eine Schwachstelle melden, welche Regeln für Ihre Prüfung gelten, wie wir mit Ihrer Meldung umgehen und wann wir sie veröffentlichen.</w:t>
      </w:r>
    </w:p>
    <w:p>
      <w:pPr>
        <w:spacing w:after="120" w:line="276"/>
        <w:jc w:val="both"/>
      </w:pPr>
      <w:r>
        <w:rPr>
          <w:rFonts w:ascii="Arial" w:cs="Arial" w:eastAsia="Arial" w:hAnsi="Arial"/>
          <w:b w:val="false"/>
          <w:bCs w:val="false"/>
          <w:i w:val="false"/>
          <w:iCs w:val="false"/>
          <w:color w:val="1A1A1A"/>
          <w:sz w:val="21"/>
          <w:szCs w:val="21"/>
        </w:rPr>
        <w:t xml:space="preserve">Sie ist zugleich unsere Strategie für die koordinierte Offenlegung von Schwachstellen nach Anhang I Teil II Nr. 5 der Cyberresilienz-Verordnung (Verordnung (EU) 2024/2847, nachfolgend „CRA“). Die Belege stehen in Ziffer 10.</w:t>
      </w:r>
    </w:p>
    <w:p>
      <w:pPr>
        <w:pStyle w:val="Heading1"/>
        <w:keepNext/>
        <w:spacing w:after="100" w:before="260"/>
      </w:pPr>
      <w:r>
        <w:rPr>
          <w:rFonts w:ascii="Arial" w:cs="Arial" w:eastAsia="Arial" w:hAnsi="Arial"/>
          <w:b/>
          <w:bCs/>
          <w:color w:val="1F3A8A"/>
          <w:sz w:val="24"/>
          <w:szCs w:val="24"/>
        </w:rPr>
        <w:t xml:space="preserve">2.  </w:t>
      </w:r>
      <w:r>
        <w:rPr>
          <w:rFonts w:ascii="Arial" w:cs="Arial" w:eastAsia="Arial" w:hAnsi="Arial"/>
          <w:b/>
          <w:bCs/>
          <w:i w:val="false"/>
          <w:iCs w:val="false"/>
          <w:color w:val="0B0B0F"/>
          <w:sz w:val="24"/>
          <w:szCs w:val="24"/>
        </w:rPr>
        <w:t xml:space="preserve">Geltungsbereich</w:t>
      </w:r>
    </w:p>
    <w:p>
      <w:pPr>
        <w:spacing w:after="80" w:line="276"/>
        <w:ind w:left="360" w:hanging="360"/>
        <w:jc w:val="both"/>
      </w:pPr>
      <w:r>
        <w:rPr>
          <w:rFonts w:ascii="Arial" w:cs="Arial" w:eastAsia="Arial" w:hAnsi="Arial"/>
          <w:color w:val="1A1A1A"/>
          <w:sz w:val="21"/>
          <w:szCs w:val="21"/>
        </w:rPr>
        <w:t xml:space="preserve">(1)	</w:t>
      </w:r>
      <w:r>
        <w:rPr>
          <w:rFonts w:ascii="Arial" w:cs="Arial" w:eastAsia="Arial" w:hAnsi="Arial"/>
          <w:b/>
          <w:bCs/>
          <w:i w:val="false"/>
          <w:iCs w:val="false"/>
          <w:color w:val="1A1A1A"/>
          <w:sz w:val="21"/>
          <w:szCs w:val="21"/>
        </w:rPr>
        <w:t xml:space="preserve">Produkte:</w:t>
      </w:r>
      <w:r>
        <w:rPr>
          <w:rFonts w:ascii="Arial" w:cs="Arial" w:eastAsia="Arial" w:hAnsi="Arial"/>
          <w:b w:val="false"/>
          <w:bCs w:val="false"/>
          <w:i w:val="false"/>
          <w:iCs w:val="false"/>
          <w:color w:val="1A1A1A"/>
          <w:sz w:val="21"/>
          <w:szCs w:val="21"/>
        </w:rPr>
        <w:t xml:space="preserve"> das </w:t>
      </w:r>
      <w:r>
        <w:rPr>
          <w:rFonts w:ascii="Arial" w:cs="Arial" w:eastAsia="Arial" w:hAnsi="Arial"/>
          <w:b/>
          <w:bCs/>
          <w:i w:val="false"/>
          <w:iCs w:val="false"/>
          <w:color w:val="1A1A1A"/>
          <w:sz w:val="21"/>
          <w:szCs w:val="21"/>
        </w:rPr>
        <w:t xml:space="preserve">NexAI CRM</w:t>
      </w:r>
      <w:r>
        <w:rPr>
          <w:rFonts w:ascii="Arial" w:cs="Arial" w:eastAsia="Arial" w:hAnsi="Arial"/>
          <w:b w:val="false"/>
          <w:bCs w:val="false"/>
          <w:i w:val="false"/>
          <w:iCs w:val="false"/>
          <w:color w:val="1A1A1A"/>
          <w:sz w:val="21"/>
          <w:szCs w:val="21"/>
        </w:rPr>
        <w:t xml:space="preserve"> mit Kauflizenz (Betrieb auf Servern des Kunden) in jeder Version, deren Unterstützungszeitraum noch läuft, sowie Apps, die NexAI in App-Stores bereitstellt [sobald veröffentlicht], einschließlich der von NexAI betriebenen Serverdienste, die diese Apps für ihre Funktion benötigen.</w:t>
      </w:r>
    </w:p>
    <w:p>
      <w:pPr>
        <w:spacing w:after="80" w:line="276"/>
        <w:ind w:left="360" w:hanging="360"/>
        <w:jc w:val="both"/>
      </w:pPr>
      <w:r>
        <w:rPr>
          <w:rFonts w:ascii="Arial" w:cs="Arial" w:eastAsia="Arial" w:hAnsi="Arial"/>
          <w:color w:val="1A1A1A"/>
          <w:sz w:val="21"/>
          <w:szCs w:val="21"/>
        </w:rPr>
        <w:t xml:space="preserve">(2)	</w:t>
      </w:r>
      <w:r>
        <w:rPr>
          <w:rFonts w:ascii="Arial" w:cs="Arial" w:eastAsia="Arial" w:hAnsi="Arial"/>
          <w:b/>
          <w:bCs/>
          <w:i w:val="false"/>
          <w:iCs w:val="false"/>
          <w:color w:val="1A1A1A"/>
          <w:sz w:val="21"/>
          <w:szCs w:val="21"/>
        </w:rPr>
        <w:t xml:space="preserve">Dienste:</w:t>
      </w:r>
      <w:r>
        <w:rPr>
          <w:rFonts w:ascii="Arial" w:cs="Arial" w:eastAsia="Arial" w:hAnsi="Arial"/>
          <w:b w:val="false"/>
          <w:bCs w:val="false"/>
          <w:i w:val="false"/>
          <w:iCs w:val="false"/>
          <w:color w:val="1A1A1A"/>
          <w:sz w:val="21"/>
          <w:szCs w:val="21"/>
        </w:rPr>
        <w:t xml:space="preserve"> die von NexAI selbst betriebenen Anwendungen und Agenten, insbesondere unter nex-a-i.com und deren Subdomains (z. B. Website, Kundenportal, CRM im Betrieb durch NexAI, Kalender, E-Mail-Assistent, Telefon- und Chat-Agenten). Für diese Dienste wendet NexAI diese Richtlinie freiwillig in gleicher Weise an.</w:t>
      </w:r>
    </w:p>
    <w:p>
      <w:pPr>
        <w:spacing w:after="80" w:line="276"/>
        <w:ind w:left="360" w:hanging="360"/>
        <w:jc w:val="both"/>
      </w:pPr>
      <w:r>
        <w:rPr>
          <w:rFonts w:ascii="Arial" w:cs="Arial" w:eastAsia="Arial" w:hAnsi="Arial"/>
          <w:color w:val="1A1A1A"/>
          <w:sz w:val="21"/>
          <w:szCs w:val="21"/>
        </w:rPr>
        <w:t xml:space="preserve">(3)	</w:t>
      </w:r>
      <w:r>
        <w:rPr>
          <w:rFonts w:ascii="Arial" w:cs="Arial" w:eastAsia="Arial" w:hAnsi="Arial"/>
          <w:b/>
          <w:bCs/>
          <w:i w:val="false"/>
          <w:iCs w:val="false"/>
          <w:color w:val="1A1A1A"/>
          <w:sz w:val="21"/>
          <w:szCs w:val="21"/>
        </w:rPr>
        <w:t xml:space="preserve">Nicht erfasst</w:t>
      </w:r>
      <w:r>
        <w:rPr>
          <w:rFonts w:ascii="Arial" w:cs="Arial" w:eastAsia="Arial" w:hAnsi="Arial"/>
          <w:b w:val="false"/>
          <w:bCs w:val="false"/>
          <w:i w:val="false"/>
          <w:iCs w:val="false"/>
          <w:color w:val="1A1A1A"/>
          <w:sz w:val="21"/>
          <w:szCs w:val="21"/>
        </w:rPr>
        <w:t xml:space="preserve"> sind Dienste Dritter, die NexAI nutzt (z. B. Hosting-, Telefonie- oder KI-Anbieter). Schwachstellen dort melden Sie bitte direkt dem jeweiligen Anbieter; betrifft eine solche Schwachstelle zugleich unsere Produkte, informieren Sie uns gern zusätzlich. Ebenfalls nicht erfasst sind Anliegen ohne Sicherheitsbezug (Bedienfragen, Störungen, Wünsche) – dafür ist der Support unter mbt@nex-a-i.com zuständig.</w:t>
      </w:r>
    </w:p>
    <w:p>
      <w:pPr>
        <w:pStyle w:val="Heading1"/>
        <w:keepNext/>
        <w:spacing w:after="100" w:before="260"/>
      </w:pPr>
      <w:r>
        <w:rPr>
          <w:rFonts w:ascii="Arial" w:cs="Arial" w:eastAsia="Arial" w:hAnsi="Arial"/>
          <w:b/>
          <w:bCs/>
          <w:color w:val="1F3A8A"/>
          <w:sz w:val="24"/>
          <w:szCs w:val="24"/>
        </w:rPr>
        <w:t xml:space="preserve">3.  </w:t>
      </w:r>
      <w:r>
        <w:rPr>
          <w:rFonts w:ascii="Arial" w:cs="Arial" w:eastAsia="Arial" w:hAnsi="Arial"/>
          <w:b/>
          <w:bCs/>
          <w:i w:val="false"/>
          <w:iCs w:val="false"/>
          <w:color w:val="0B0B0F"/>
          <w:sz w:val="24"/>
          <w:szCs w:val="24"/>
        </w:rPr>
        <w:t xml:space="preserve">So melden Sie eine Schwachstelle</w:t>
      </w:r>
    </w:p>
    <w:p>
      <w:pPr>
        <w:spacing w:after="120" w:line="276"/>
        <w:jc w:val="both"/>
      </w:pPr>
      <w:r>
        <w:rPr>
          <w:rFonts w:ascii="Arial" w:cs="Arial" w:eastAsia="Arial" w:hAnsi="Arial"/>
          <w:b w:val="false"/>
          <w:bCs w:val="false"/>
          <w:i w:val="false"/>
          <w:iCs w:val="false"/>
          <w:color w:val="1A1A1A"/>
          <w:sz w:val="21"/>
          <w:szCs w:val="21"/>
        </w:rPr>
        <w:t xml:space="preserve">Unsere </w:t>
      </w:r>
      <w:r>
        <w:rPr>
          <w:rFonts w:ascii="Arial" w:cs="Arial" w:eastAsia="Arial" w:hAnsi="Arial"/>
          <w:b/>
          <w:bCs/>
          <w:i w:val="false"/>
          <w:iCs w:val="false"/>
          <w:color w:val="1A1A1A"/>
          <w:sz w:val="21"/>
          <w:szCs w:val="21"/>
        </w:rPr>
        <w:t xml:space="preserve">zentrale Anlaufstelle</w:t>
      </w:r>
      <w:r>
        <w:rPr>
          <w:rFonts w:ascii="Arial" w:cs="Arial" w:eastAsia="Arial" w:hAnsi="Arial"/>
          <w:b w:val="false"/>
          <w:bCs w:val="false"/>
          <w:i w:val="false"/>
          <w:iCs w:val="false"/>
          <w:color w:val="1A1A1A"/>
          <w:sz w:val="21"/>
          <w:szCs w:val="21"/>
        </w:rPr>
        <w:t xml:space="preserve"> für Schwachstellen erreichen Sie auf folgenden Wegen:</w:t>
      </w:r>
    </w:p>
    <w:p>
      <w:pPr>
        <w:pStyle w:val="ListParagraph"/>
        <w:numPr>
          <w:ilvl w:val="0"/>
          <w:numId w:val="1"/>
        </w:numPr>
        <w:spacing w:after="40" w:line="264"/>
      </w:pPr>
      <w:r>
        <w:rPr>
          <w:rFonts w:ascii="Arial" w:cs="Arial" w:eastAsia="Arial" w:hAnsi="Arial"/>
          <w:b/>
          <w:bCs/>
          <w:i w:val="false"/>
          <w:iCs w:val="false"/>
          <w:color w:val="1A1A1A"/>
          <w:sz w:val="21"/>
          <w:szCs w:val="21"/>
        </w:rPr>
        <w:t xml:space="preserve">E-Mail:</w:t>
      </w:r>
      <w:r>
        <w:rPr>
          <w:rFonts w:ascii="Arial" w:cs="Arial" w:eastAsia="Arial" w:hAnsi="Arial"/>
          <w:b w:val="false"/>
          <w:bCs w:val="false"/>
          <w:i w:val="false"/>
          <w:iCs w:val="false"/>
          <w:color w:val="1A1A1A"/>
          <w:sz w:val="21"/>
          <w:szCs w:val="21"/>
        </w:rPr>
        <w:t xml:space="preserve"> security@nex-a-i.com [bis zur Einrichtung dieses Postfachs: mbt@nex-a-i.com] – bevorzugter Weg;</w:t>
      </w:r>
    </w:p>
    <w:p>
      <w:pPr>
        <w:pStyle w:val="ListParagraph"/>
        <w:numPr>
          <w:ilvl w:val="0"/>
          <w:numId w:val="1"/>
        </w:numPr>
        <w:spacing w:after="40" w:line="264"/>
      </w:pPr>
      <w:r>
        <w:rPr>
          <w:rFonts w:ascii="Arial" w:cs="Arial" w:eastAsia="Arial" w:hAnsi="Arial"/>
          <w:b/>
          <w:bCs/>
          <w:i w:val="false"/>
          <w:iCs w:val="false"/>
          <w:color w:val="1A1A1A"/>
          <w:sz w:val="21"/>
          <w:szCs w:val="21"/>
        </w:rPr>
        <w:t xml:space="preserve">Telefon:</w:t>
      </w:r>
      <w:r>
        <w:rPr>
          <w:rFonts w:ascii="Arial" w:cs="Arial" w:eastAsia="Arial" w:hAnsi="Arial"/>
          <w:b w:val="false"/>
          <w:bCs w:val="false"/>
          <w:i w:val="false"/>
          <w:iCs w:val="false"/>
          <w:color w:val="1A1A1A"/>
          <w:sz w:val="21"/>
          <w:szCs w:val="21"/>
        </w:rPr>
        <w:t xml:space="preserve"> 0176 80714816, Montag bis Freitag von 09:00 bis 17:00 Uhr; wir fassen das Gespräch anschließend schriftlich zusammen und senden es Ihnen zur Bestätigung;</w:t>
      </w:r>
    </w:p>
    <w:p>
      <w:pPr>
        <w:pStyle w:val="ListParagraph"/>
        <w:numPr>
          <w:ilvl w:val="0"/>
          <w:numId w:val="1"/>
        </w:numPr>
        <w:spacing w:after="40" w:line="264"/>
      </w:pPr>
      <w:r>
        <w:rPr>
          <w:rFonts w:ascii="Arial" w:cs="Arial" w:eastAsia="Arial" w:hAnsi="Arial"/>
          <w:b/>
          <w:bCs/>
          <w:i w:val="false"/>
          <w:iCs w:val="false"/>
          <w:color w:val="1A1A1A"/>
          <w:sz w:val="21"/>
          <w:szCs w:val="21"/>
        </w:rPr>
        <w:t xml:space="preserve">Post:</w:t>
      </w:r>
      <w:r>
        <w:rPr>
          <w:rFonts w:ascii="Arial" w:cs="Arial" w:eastAsia="Arial" w:hAnsi="Arial"/>
          <w:b w:val="false"/>
          <w:bCs w:val="false"/>
          <w:i w:val="false"/>
          <w:iCs w:val="false"/>
          <w:color w:val="1A1A1A"/>
          <w:sz w:val="21"/>
          <w:szCs w:val="21"/>
        </w:rPr>
        <w:t xml:space="preserve"> NexAI – Next Generation Artificial Intelligence GbR, Stichwort „Schwachstelle“, Untere Bergstraße 13, 74586 Frankenhardt-Honhardt;</w:t>
      </w:r>
    </w:p>
    <w:p>
      <w:pPr>
        <w:pStyle w:val="ListParagraph"/>
        <w:numPr>
          <w:ilvl w:val="0"/>
          <w:numId w:val="1"/>
        </w:numPr>
        <w:spacing w:after="40" w:line="264"/>
      </w:pPr>
      <w:r>
        <w:rPr>
          <w:rFonts w:ascii="Arial" w:cs="Arial" w:eastAsia="Arial" w:hAnsi="Arial"/>
          <w:b/>
          <w:bCs/>
          <w:i w:val="false"/>
          <w:iCs w:val="false"/>
          <w:color w:val="1A1A1A"/>
          <w:sz w:val="21"/>
          <w:szCs w:val="21"/>
        </w:rPr>
        <w:t xml:space="preserve">verschlüsselt:</w:t>
      </w:r>
      <w:r>
        <w:rPr>
          <w:rFonts w:ascii="Arial" w:cs="Arial" w:eastAsia="Arial" w:hAnsi="Arial"/>
          <w:b w:val="false"/>
          <w:bCs w:val="false"/>
          <w:i w:val="false"/>
          <w:iCs w:val="false"/>
          <w:color w:val="1A1A1A"/>
          <w:sz w:val="21"/>
          <w:szCs w:val="21"/>
        </w:rPr>
        <w:t xml:space="preserve"> [OpenPGP-Schlüssel mit Fingerabdruck – noch nicht eingerichtet]. Bis dahin senden Sie bitte zuerst nur eine kurze Erstmeldung ohne Ausnutzungsdetails; wir vereinbaren dann mit Ihnen einen sicheren Übertragungsweg.</w:t>
      </w:r>
    </w:p>
    <w:p>
      <w:pPr>
        <w:spacing w:after="120" w:line="276"/>
        <w:jc w:val="both"/>
      </w:pPr>
      <w:r>
        <w:rPr>
          <w:rFonts w:ascii="Arial" w:cs="Arial" w:eastAsia="Arial" w:hAnsi="Arial"/>
          <w:b w:val="false"/>
          <w:bCs w:val="false"/>
          <w:i w:val="false"/>
          <w:iCs w:val="false"/>
          <w:color w:val="1A1A1A"/>
          <w:sz w:val="21"/>
          <w:szCs w:val="21"/>
        </w:rPr>
        <w:t xml:space="preserve">Sie wählen den Weg, der Ihnen am besten passt. Anonyme Meldungen sind möglich. Dieselben Angaben finden Sie maschinenlesbar unter https://nex-a-i.com/.well-known/security.txt.</w:t>
      </w:r>
    </w:p>
    <w:p>
      <w:pPr>
        <w:pStyle w:val="Heading2"/>
        <w:keepNext/>
        <w:spacing w:after="80" w:before="160"/>
      </w:pPr>
      <w:r>
        <w:rPr>
          <w:rFonts w:ascii="Arial" w:cs="Arial" w:eastAsia="Arial" w:hAnsi="Arial"/>
          <w:b/>
          <w:bCs/>
          <w:i w:val="false"/>
          <w:iCs w:val="false"/>
          <w:color w:val="0B0B0F"/>
          <w:sz w:val="21"/>
          <w:szCs w:val="21"/>
        </w:rPr>
        <w:t xml:space="preserve">Was Ihre Meldung enthalten sollte</w:t>
      </w:r>
    </w:p>
    <w:p>
      <w:pPr>
        <w:pStyle w:val="ListParagraph"/>
        <w:numPr>
          <w:ilvl w:val="0"/>
          <w:numId w:val="1"/>
        </w:numPr>
        <w:spacing w:after="40" w:line="264"/>
      </w:pPr>
      <w:r>
        <w:rPr>
          <w:rFonts w:ascii="Arial" w:cs="Arial" w:eastAsia="Arial" w:hAnsi="Arial"/>
          <w:b w:val="false"/>
          <w:bCs w:val="false"/>
          <w:i w:val="false"/>
          <w:iCs w:val="false"/>
          <w:color w:val="1A1A1A"/>
          <w:sz w:val="21"/>
          <w:szCs w:val="21"/>
        </w:rPr>
        <w:t xml:space="preserve">das betroffene Produkt oder den Dienst, die Version bzw. die Internetadresse und den Zeitpunkt Ihrer Beobachtung;</w:t>
      </w:r>
    </w:p>
    <w:p>
      <w:pPr>
        <w:pStyle w:val="ListParagraph"/>
        <w:numPr>
          <w:ilvl w:val="0"/>
          <w:numId w:val="1"/>
        </w:numPr>
        <w:spacing w:after="40" w:line="264"/>
      </w:pPr>
      <w:r>
        <w:rPr>
          <w:rFonts w:ascii="Arial" w:cs="Arial" w:eastAsia="Arial" w:hAnsi="Arial"/>
          <w:b w:val="false"/>
          <w:bCs w:val="false"/>
          <w:i w:val="false"/>
          <w:iCs w:val="false"/>
          <w:color w:val="1A1A1A"/>
          <w:sz w:val="21"/>
          <w:szCs w:val="21"/>
        </w:rPr>
        <w:t xml:space="preserve">eine Beschreibung der Schwachstelle und ihrer möglichen Auswirkungen;</w:t>
      </w:r>
    </w:p>
    <w:p>
      <w:pPr>
        <w:pStyle w:val="ListParagraph"/>
        <w:numPr>
          <w:ilvl w:val="0"/>
          <w:numId w:val="1"/>
        </w:numPr>
        <w:spacing w:after="40" w:line="264"/>
      </w:pPr>
      <w:r>
        <w:rPr>
          <w:rFonts w:ascii="Arial" w:cs="Arial" w:eastAsia="Arial" w:hAnsi="Arial"/>
          <w:b w:val="false"/>
          <w:bCs w:val="false"/>
          <w:i w:val="false"/>
          <w:iCs w:val="false"/>
          <w:color w:val="1A1A1A"/>
          <w:sz w:val="21"/>
          <w:szCs w:val="21"/>
        </w:rPr>
        <w:t xml:space="preserve">die Schritte, mit denen wir sie nachstellen können, gegebenenfalls mit Beweiscode (Proof of Concept) oder Bildschirmfotos;</w:t>
      </w:r>
    </w:p>
    <w:p>
      <w:pPr>
        <w:pStyle w:val="ListParagraph"/>
        <w:numPr>
          <w:ilvl w:val="0"/>
          <w:numId w:val="1"/>
        </w:numPr>
        <w:spacing w:after="40" w:line="264"/>
      </w:pPr>
      <w:r>
        <w:rPr>
          <w:rFonts w:ascii="Arial" w:cs="Arial" w:eastAsia="Arial" w:hAnsi="Arial"/>
          <w:b w:val="false"/>
          <w:bCs w:val="false"/>
          <w:i w:val="false"/>
          <w:iCs w:val="false"/>
          <w:color w:val="1A1A1A"/>
          <w:sz w:val="21"/>
          <w:szCs w:val="21"/>
        </w:rPr>
        <w:t xml:space="preserve">ob die Schwachstelle Ihres Wissens bereits ausgenutzt wird oder öffentlich bekannt ist;</w:t>
      </w:r>
    </w:p>
    <w:p>
      <w:pPr>
        <w:pStyle w:val="ListParagraph"/>
        <w:numPr>
          <w:ilvl w:val="0"/>
          <w:numId w:val="1"/>
        </w:numPr>
        <w:spacing w:after="40" w:line="264"/>
      </w:pPr>
      <w:r>
        <w:rPr>
          <w:rFonts w:ascii="Arial" w:cs="Arial" w:eastAsia="Arial" w:hAnsi="Arial"/>
          <w:b w:val="false"/>
          <w:bCs w:val="false"/>
          <w:i w:val="false"/>
          <w:iCs w:val="false"/>
          <w:color w:val="1A1A1A"/>
          <w:sz w:val="21"/>
          <w:szCs w:val="21"/>
        </w:rPr>
        <w:t xml:space="preserve">wie wir Sie erreichen und ob Sie in einem Sicherheitshinweis namentlich genannt werden möchten.</w:t>
      </w:r>
    </w:p>
    <w:p>
      <w:pPr>
        <w:pStyle w:val="Heading1"/>
        <w:keepNext/>
        <w:spacing w:after="100" w:before="260"/>
      </w:pPr>
      <w:r>
        <w:rPr>
          <w:rFonts w:ascii="Arial" w:cs="Arial" w:eastAsia="Arial" w:hAnsi="Arial"/>
          <w:b/>
          <w:bCs/>
          <w:color w:val="1F3A8A"/>
          <w:sz w:val="24"/>
          <w:szCs w:val="24"/>
        </w:rPr>
        <w:t xml:space="preserve">4.  </w:t>
      </w:r>
      <w:r>
        <w:rPr>
          <w:rFonts w:ascii="Arial" w:cs="Arial" w:eastAsia="Arial" w:hAnsi="Arial"/>
          <w:b/>
          <w:bCs/>
          <w:i w:val="false"/>
          <w:iCs w:val="false"/>
          <w:color w:val="0B0B0F"/>
          <w:sz w:val="24"/>
          <w:szCs w:val="24"/>
        </w:rPr>
        <w:t xml:space="preserve">Regeln für Ihre Prüfung</w:t>
      </w:r>
    </w:p>
    <w:p>
      <w:pPr>
        <w:pStyle w:val="ListParagraph"/>
        <w:numPr>
          <w:ilvl w:val="0"/>
          <w:numId w:val="1"/>
        </w:numPr>
        <w:spacing w:after="40" w:line="264"/>
      </w:pPr>
      <w:r>
        <w:rPr>
          <w:rFonts w:ascii="Arial" w:cs="Arial" w:eastAsia="Arial" w:hAnsi="Arial"/>
          <w:b w:val="false"/>
          <w:bCs w:val="false"/>
          <w:i w:val="false"/>
          <w:iCs w:val="false"/>
          <w:color w:val="1A1A1A"/>
          <w:sz w:val="21"/>
          <w:szCs w:val="21"/>
        </w:rPr>
        <w:t xml:space="preserve">Prüfen Sie nur so weit, wie es zum Nachweis der Schwachstelle nötig ist. Greifen Sie auf fremde Daten nicht weiter zu als dafür erforderlich, kopieren, verändern oder löschen Sie sie nicht und löschen Sie bereits eingesehene Daten nach Ihrer Meldung.</w:t>
      </w:r>
    </w:p>
    <w:p>
      <w:pPr>
        <w:pStyle w:val="ListParagraph"/>
        <w:numPr>
          <w:ilvl w:val="0"/>
          <w:numId w:val="1"/>
        </w:numPr>
        <w:spacing w:after="40" w:line="264"/>
      </w:pPr>
      <w:r>
        <w:rPr>
          <w:rFonts w:ascii="Arial" w:cs="Arial" w:eastAsia="Arial" w:hAnsi="Arial"/>
          <w:b w:val="false"/>
          <w:bCs w:val="false"/>
          <w:i w:val="false"/>
          <w:iCs w:val="false"/>
          <w:color w:val="1A1A1A"/>
          <w:sz w:val="21"/>
          <w:szCs w:val="21"/>
        </w:rPr>
        <w:t xml:space="preserve">Keine Angriffe auf die Verfügbarkeit (Denial of Service), kein Spam, keine Täuschung von Beschäftigten, Kunden oder Partnern (Social Engineering), keine physischen Angriffe.</w:t>
      </w:r>
    </w:p>
    <w:p>
      <w:pPr>
        <w:pStyle w:val="ListParagraph"/>
        <w:numPr>
          <w:ilvl w:val="0"/>
          <w:numId w:val="1"/>
        </w:numPr>
        <w:spacing w:after="40" w:line="264"/>
      </w:pPr>
      <w:r>
        <w:rPr>
          <w:rFonts w:ascii="Arial" w:cs="Arial" w:eastAsia="Arial" w:hAnsi="Arial"/>
          <w:b w:val="false"/>
          <w:bCs w:val="false"/>
          <w:i w:val="false"/>
          <w:iCs w:val="false"/>
          <w:color w:val="1A1A1A"/>
          <w:sz w:val="21"/>
          <w:szCs w:val="21"/>
        </w:rPr>
        <w:t xml:space="preserve">Bringen Sie keine Hintertüren oder Schadsoftware ein und geben Sie die Schwachstelle vor der Veröffentlichung nach Ziffer 7 nicht an Dritte weiter.</w:t>
      </w:r>
    </w:p>
    <w:p>
      <w:pPr>
        <w:pStyle w:val="ListParagraph"/>
        <w:numPr>
          <w:ilvl w:val="0"/>
          <w:numId w:val="1"/>
        </w:numPr>
        <w:spacing w:after="40" w:line="264"/>
      </w:pPr>
      <w:r>
        <w:rPr>
          <w:rFonts w:ascii="Arial" w:cs="Arial" w:eastAsia="Arial" w:hAnsi="Arial"/>
          <w:b w:val="false"/>
          <w:bCs w:val="false"/>
          <w:i w:val="false"/>
          <w:iCs w:val="false"/>
          <w:color w:val="1A1A1A"/>
          <w:sz w:val="21"/>
          <w:szCs w:val="21"/>
        </w:rPr>
        <w:t xml:space="preserve">Automatisierte Scans nur mit geringer Last.</w:t>
      </w:r>
    </w:p>
    <w:p>
      <w:pPr>
        <w:pStyle w:val="ListParagraph"/>
        <w:numPr>
          <w:ilvl w:val="0"/>
          <w:numId w:val="1"/>
        </w:numPr>
        <w:spacing w:after="40" w:line="264"/>
      </w:pPr>
      <w:r>
        <w:rPr>
          <w:rFonts w:ascii="Arial" w:cs="Arial" w:eastAsia="Arial" w:hAnsi="Arial"/>
          <w:b/>
          <w:bCs/>
          <w:i w:val="false"/>
          <w:iCs w:val="false"/>
          <w:color w:val="1A1A1A"/>
          <w:sz w:val="21"/>
          <w:szCs w:val="21"/>
        </w:rPr>
        <w:t xml:space="preserve">Installationen bei Kunden:</w:t>
      </w:r>
      <w:r>
        <w:rPr>
          <w:rFonts w:ascii="Arial" w:cs="Arial" w:eastAsia="Arial" w:hAnsi="Arial"/>
          <w:b w:val="false"/>
          <w:bCs w:val="false"/>
          <w:i w:val="false"/>
          <w:iCs w:val="false"/>
          <w:color w:val="1A1A1A"/>
          <w:sz w:val="21"/>
          <w:szCs w:val="21"/>
        </w:rPr>
        <w:t xml:space="preserve"> Das NexAI CRM mit Kauflizenz läuft auf Servern unserer Kunden. Diese Systeme gehören nicht NexAI; dort darf nur mit Zustimmung des jeweiligen Betreibers geprüft werden. Für eigene Tests verwenden Sie bitte eine eigene Installation [Testzugang auf Anfrage].</w:t>
      </w:r>
    </w:p>
    <w:p>
      <w:pPr>
        <w:pStyle w:val="Heading1"/>
        <w:keepNext/>
        <w:spacing w:after="100" w:before="260"/>
      </w:pPr>
      <w:r>
        <w:rPr>
          <w:rFonts w:ascii="Arial" w:cs="Arial" w:eastAsia="Arial" w:hAnsi="Arial"/>
          <w:b/>
          <w:bCs/>
          <w:color w:val="1F3A8A"/>
          <w:sz w:val="24"/>
          <w:szCs w:val="24"/>
        </w:rPr>
        <w:t xml:space="preserve">5.  </w:t>
      </w:r>
      <w:r>
        <w:rPr>
          <w:rFonts w:ascii="Arial" w:cs="Arial" w:eastAsia="Arial" w:hAnsi="Arial"/>
          <w:b/>
          <w:bCs/>
          <w:i w:val="false"/>
          <w:iCs w:val="false"/>
          <w:color w:val="0B0B0F"/>
          <w:sz w:val="24"/>
          <w:szCs w:val="24"/>
        </w:rPr>
        <w:t xml:space="preserve">Unsere Zusagen</w:t>
      </w:r>
    </w:p>
    <w:p>
      <w:pPr>
        <w:spacing w:after="120" w:line="276"/>
        <w:jc w:val="both"/>
      </w:pPr>
      <w:r>
        <w:rPr>
          <w:rFonts w:ascii="Arial" w:cs="Arial" w:eastAsia="Arial" w:hAnsi="Arial"/>
          <w:b w:val="false"/>
          <w:bCs w:val="false"/>
          <w:i w:val="false"/>
          <w:iCs w:val="false"/>
          <w:color w:val="1A1A1A"/>
          <w:sz w:val="21"/>
          <w:szCs w:val="21"/>
        </w:rPr>
        <w:t xml:space="preserve">NexAI bearbeitet jede Meldung unverzüglich. Dafür gelten folgende Richtwerte:</w:t>
      </w:r>
    </w:p>
    <w:tbl>
      <w:tblPr>
        <w:tblW w:type="dxa" w:w="9406"/>
        <w:tblBorders>
          <w:top w:val="single" w:color="D1D5DB" w:sz="4"/>
          <w:left w:val="single" w:color="D1D5DB" w:sz="4"/>
          <w:bottom w:val="single" w:color="D1D5DB" w:sz="4"/>
          <w:right w:val="single" w:color="D1D5DB" w:sz="4"/>
          <w:insideH w:val="single" w:color="D1D5DB" w:sz="4"/>
          <w:insideV w:val="single" w:color="D1D5DB" w:sz="4"/>
        </w:tblBorders>
      </w:tblPr>
      <w:tblGrid>
        <w:gridCol w:w="4703"/>
        <w:gridCol w:w="4703"/>
      </w:tblGrid>
      <w:tr>
        <w:trPr>
          <w:tblHeader/>
        </w:trPr>
        <w:tc>
          <w:tcPr>
            <w:tcW w:type="dxa" w:w="4703"/>
            <w:shd w:fill="F3F4F6" w:val="clear"/>
            <w:tcMar>
              <w:top w:type="dxa" w:w="60"/>
              <w:left w:type="dxa" w:w="90"/>
              <w:bottom w:type="dxa" w:w="60"/>
              <w:right w:type="dxa" w:w="90"/>
            </w:tcMar>
          </w:tcPr>
          <w:p>
            <w:pPr>
              <w:spacing w:after="0" w:line="264"/>
            </w:pPr>
            <w:r>
              <w:rPr>
                <w:rFonts w:ascii="Arial" w:cs="Arial" w:eastAsia="Arial" w:hAnsi="Arial"/>
                <w:b/>
                <w:bCs/>
                <w:i w:val="false"/>
                <w:iCs w:val="false"/>
                <w:color w:val="0B0B0F"/>
                <w:sz w:val="20"/>
                <w:szCs w:val="20"/>
              </w:rPr>
              <w:t xml:space="preserve">Schritt</w:t>
            </w:r>
          </w:p>
        </w:tc>
        <w:tc>
          <w:tcPr>
            <w:tcW w:type="dxa" w:w="4703"/>
            <w:shd w:fill="F3F4F6" w:val="clear"/>
            <w:tcMar>
              <w:top w:type="dxa" w:w="60"/>
              <w:left w:type="dxa" w:w="90"/>
              <w:bottom w:type="dxa" w:w="60"/>
              <w:right w:type="dxa" w:w="90"/>
            </w:tcMar>
          </w:tcPr>
          <w:p>
            <w:pPr>
              <w:spacing w:after="0" w:line="264"/>
            </w:pPr>
            <w:r>
              <w:rPr>
                <w:rFonts w:ascii="Arial" w:cs="Arial" w:eastAsia="Arial" w:hAnsi="Arial"/>
                <w:b/>
                <w:bCs/>
                <w:i w:val="false"/>
                <w:iCs w:val="false"/>
                <w:color w:val="0B0B0F"/>
                <w:sz w:val="20"/>
                <w:szCs w:val="20"/>
              </w:rPr>
              <w:t xml:space="preserve">Richtwert</w:t>
            </w:r>
          </w:p>
        </w:tc>
      </w:tr>
      <w:tr>
        <w:tc>
          <w:tcPr>
            <w:tcW w:type="dxa" w:w="4703"/>
            <w:tcMar>
              <w:top w:type="dxa" w:w="60"/>
              <w:left w:type="dxa" w:w="90"/>
              <w:bottom w:type="dxa" w:w="60"/>
              <w:right w:type="dxa" w:w="90"/>
            </w:tcMar>
          </w:tcPr>
          <w:p>
            <w:pPr>
              <w:spacing w:after="0" w:line="264"/>
            </w:pPr>
            <w:r>
              <w:rPr>
                <w:rFonts w:ascii="Arial" w:cs="Arial" w:eastAsia="Arial" w:hAnsi="Arial"/>
                <w:b w:val="false"/>
                <w:bCs w:val="false"/>
                <w:i w:val="false"/>
                <w:iCs w:val="false"/>
                <w:color w:val="1A1A1A"/>
                <w:sz w:val="20"/>
                <w:szCs w:val="20"/>
              </w:rPr>
              <w:t xml:space="preserve">Eingangsbestätigung</w:t>
            </w:r>
          </w:p>
        </w:tc>
        <w:tc>
          <w:tcPr>
            <w:tcW w:type="dxa" w:w="4703"/>
            <w:tcMar>
              <w:top w:type="dxa" w:w="60"/>
              <w:left w:type="dxa" w:w="90"/>
              <w:bottom w:type="dxa" w:w="60"/>
              <w:right w:type="dxa" w:w="90"/>
            </w:tcMar>
          </w:tcPr>
          <w:p>
            <w:pPr>
              <w:spacing w:after="0" w:line="264"/>
            </w:pPr>
            <w:r>
              <w:rPr>
                <w:rFonts w:ascii="Arial" w:cs="Arial" w:eastAsia="Arial" w:hAnsi="Arial"/>
                <w:b w:val="false"/>
                <w:bCs w:val="false"/>
                <w:i w:val="false"/>
                <w:iCs w:val="false"/>
                <w:color w:val="1A1A1A"/>
                <w:sz w:val="20"/>
                <w:szCs w:val="20"/>
              </w:rPr>
              <w:t xml:space="preserve">innerhalb von [3] Werktagen</w:t>
            </w:r>
          </w:p>
        </w:tc>
      </w:tr>
      <w:tr>
        <w:tc>
          <w:tcPr>
            <w:tcW w:type="dxa" w:w="4703"/>
            <w:tcMar>
              <w:top w:type="dxa" w:w="60"/>
              <w:left w:type="dxa" w:w="90"/>
              <w:bottom w:type="dxa" w:w="60"/>
              <w:right w:type="dxa" w:w="90"/>
            </w:tcMar>
          </w:tcPr>
          <w:p>
            <w:pPr>
              <w:spacing w:after="0" w:line="264"/>
            </w:pPr>
            <w:r>
              <w:rPr>
                <w:rFonts w:ascii="Arial" w:cs="Arial" w:eastAsia="Arial" w:hAnsi="Arial"/>
                <w:b w:val="false"/>
                <w:bCs w:val="false"/>
                <w:i w:val="false"/>
                <w:iCs w:val="false"/>
                <w:color w:val="1A1A1A"/>
                <w:sz w:val="20"/>
                <w:szCs w:val="20"/>
              </w:rPr>
              <w:t xml:space="preserve">Ersteinschätzung (bestätigt oder nicht, Schweregrad)</w:t>
            </w:r>
          </w:p>
        </w:tc>
        <w:tc>
          <w:tcPr>
            <w:tcW w:type="dxa" w:w="4703"/>
            <w:tcMar>
              <w:top w:type="dxa" w:w="60"/>
              <w:left w:type="dxa" w:w="90"/>
              <w:bottom w:type="dxa" w:w="60"/>
              <w:right w:type="dxa" w:w="90"/>
            </w:tcMar>
          </w:tcPr>
          <w:p>
            <w:pPr>
              <w:spacing w:after="0" w:line="264"/>
            </w:pPr>
            <w:r>
              <w:rPr>
                <w:rFonts w:ascii="Arial" w:cs="Arial" w:eastAsia="Arial" w:hAnsi="Arial"/>
                <w:b w:val="false"/>
                <w:bCs w:val="false"/>
                <w:i w:val="false"/>
                <w:iCs w:val="false"/>
                <w:color w:val="1A1A1A"/>
                <w:sz w:val="20"/>
                <w:szCs w:val="20"/>
              </w:rPr>
              <w:t xml:space="preserve">innerhalb von [10] Werktagen</w:t>
            </w:r>
          </w:p>
        </w:tc>
      </w:tr>
      <w:tr>
        <w:tc>
          <w:tcPr>
            <w:tcW w:type="dxa" w:w="4703"/>
            <w:tcMar>
              <w:top w:type="dxa" w:w="60"/>
              <w:left w:type="dxa" w:w="90"/>
              <w:bottom w:type="dxa" w:w="60"/>
              <w:right w:type="dxa" w:w="90"/>
            </w:tcMar>
          </w:tcPr>
          <w:p>
            <w:pPr>
              <w:spacing w:after="0" w:line="264"/>
            </w:pPr>
            <w:r>
              <w:rPr>
                <w:rFonts w:ascii="Arial" w:cs="Arial" w:eastAsia="Arial" w:hAnsi="Arial"/>
                <w:b w:val="false"/>
                <w:bCs w:val="false"/>
                <w:i w:val="false"/>
                <w:iCs w:val="false"/>
                <w:color w:val="1A1A1A"/>
                <w:sz w:val="20"/>
                <w:szCs w:val="20"/>
              </w:rPr>
              <w:t xml:space="preserve">Zwischenstand an Sie</w:t>
            </w:r>
          </w:p>
        </w:tc>
        <w:tc>
          <w:tcPr>
            <w:tcW w:type="dxa" w:w="4703"/>
            <w:tcMar>
              <w:top w:type="dxa" w:w="60"/>
              <w:left w:type="dxa" w:w="90"/>
              <w:bottom w:type="dxa" w:w="60"/>
              <w:right w:type="dxa" w:w="90"/>
            </w:tcMar>
          </w:tcPr>
          <w:p>
            <w:pPr>
              <w:spacing w:after="0" w:line="264"/>
            </w:pPr>
            <w:r>
              <w:rPr>
                <w:rFonts w:ascii="Arial" w:cs="Arial" w:eastAsia="Arial" w:hAnsi="Arial"/>
                <w:b w:val="false"/>
                <w:bCs w:val="false"/>
                <w:i w:val="false"/>
                <w:iCs w:val="false"/>
                <w:color w:val="1A1A1A"/>
                <w:sz w:val="20"/>
                <w:szCs w:val="20"/>
              </w:rPr>
              <w:t xml:space="preserve">mindestens alle [14] Tage bis zur Behebung</w:t>
            </w:r>
          </w:p>
        </w:tc>
      </w:tr>
      <w:tr>
        <w:tc>
          <w:tcPr>
            <w:tcW w:type="dxa" w:w="4703"/>
            <w:tcMar>
              <w:top w:type="dxa" w:w="60"/>
              <w:left w:type="dxa" w:w="90"/>
              <w:bottom w:type="dxa" w:w="60"/>
              <w:right w:type="dxa" w:w="90"/>
            </w:tcMar>
          </w:tcPr>
          <w:p>
            <w:pPr>
              <w:spacing w:after="0" w:line="264"/>
            </w:pPr>
            <w:r>
              <w:rPr>
                <w:rFonts w:ascii="Arial" w:cs="Arial" w:eastAsia="Arial" w:hAnsi="Arial"/>
                <w:b w:val="false"/>
                <w:bCs w:val="false"/>
                <w:i w:val="false"/>
                <w:iCs w:val="false"/>
                <w:color w:val="1A1A1A"/>
                <w:sz w:val="20"/>
                <w:szCs w:val="20"/>
              </w:rPr>
              <w:t xml:space="preserve">Behebung bei Schweregrad kritisch (CVSS 9,0–10,0)</w:t>
            </w:r>
          </w:p>
        </w:tc>
        <w:tc>
          <w:tcPr>
            <w:tcW w:type="dxa" w:w="4703"/>
            <w:tcMar>
              <w:top w:type="dxa" w:w="60"/>
              <w:left w:type="dxa" w:w="90"/>
              <w:bottom w:type="dxa" w:w="60"/>
              <w:right w:type="dxa" w:w="90"/>
            </w:tcMar>
          </w:tcPr>
          <w:p>
            <w:pPr>
              <w:spacing w:after="0" w:line="264"/>
            </w:pPr>
            <w:r>
              <w:rPr>
                <w:rFonts w:ascii="Arial" w:cs="Arial" w:eastAsia="Arial" w:hAnsi="Arial"/>
                <w:b w:val="false"/>
                <w:bCs w:val="false"/>
                <w:i w:val="false"/>
                <w:iCs w:val="false"/>
                <w:color w:val="1A1A1A"/>
                <w:sz w:val="20"/>
                <w:szCs w:val="20"/>
              </w:rPr>
              <w:t xml:space="preserve">Ziel: [7] Tage nach Bestätigung</w:t>
            </w:r>
          </w:p>
        </w:tc>
      </w:tr>
      <w:tr>
        <w:tc>
          <w:tcPr>
            <w:tcW w:type="dxa" w:w="4703"/>
            <w:tcMar>
              <w:top w:type="dxa" w:w="60"/>
              <w:left w:type="dxa" w:w="90"/>
              <w:bottom w:type="dxa" w:w="60"/>
              <w:right w:type="dxa" w:w="90"/>
            </w:tcMar>
          </w:tcPr>
          <w:p>
            <w:pPr>
              <w:spacing w:after="0" w:line="264"/>
            </w:pPr>
            <w:r>
              <w:rPr>
                <w:rFonts w:ascii="Arial" w:cs="Arial" w:eastAsia="Arial" w:hAnsi="Arial"/>
                <w:b w:val="false"/>
                <w:bCs w:val="false"/>
                <w:i w:val="false"/>
                <w:iCs w:val="false"/>
                <w:color w:val="1A1A1A"/>
                <w:sz w:val="20"/>
                <w:szCs w:val="20"/>
              </w:rPr>
              <w:t xml:space="preserve">Behebung bei Schweregrad hoch (CVSS 7,0–8,9)</w:t>
            </w:r>
          </w:p>
        </w:tc>
        <w:tc>
          <w:tcPr>
            <w:tcW w:type="dxa" w:w="4703"/>
            <w:tcMar>
              <w:top w:type="dxa" w:w="60"/>
              <w:left w:type="dxa" w:w="90"/>
              <w:bottom w:type="dxa" w:w="60"/>
              <w:right w:type="dxa" w:w="90"/>
            </w:tcMar>
          </w:tcPr>
          <w:p>
            <w:pPr>
              <w:spacing w:after="0" w:line="264"/>
            </w:pPr>
            <w:r>
              <w:rPr>
                <w:rFonts w:ascii="Arial" w:cs="Arial" w:eastAsia="Arial" w:hAnsi="Arial"/>
                <w:b w:val="false"/>
                <w:bCs w:val="false"/>
                <w:i w:val="false"/>
                <w:iCs w:val="false"/>
                <w:color w:val="1A1A1A"/>
                <w:sz w:val="20"/>
                <w:szCs w:val="20"/>
              </w:rPr>
              <w:t xml:space="preserve">Ziel: [30] Tage nach Bestätigung</w:t>
            </w:r>
          </w:p>
        </w:tc>
      </w:tr>
      <w:tr>
        <w:tc>
          <w:tcPr>
            <w:tcW w:type="dxa" w:w="4703"/>
            <w:tcMar>
              <w:top w:type="dxa" w:w="60"/>
              <w:left w:type="dxa" w:w="90"/>
              <w:bottom w:type="dxa" w:w="60"/>
              <w:right w:type="dxa" w:w="90"/>
            </w:tcMar>
          </w:tcPr>
          <w:p>
            <w:pPr>
              <w:spacing w:after="0" w:line="264"/>
            </w:pPr>
            <w:r>
              <w:rPr>
                <w:rFonts w:ascii="Arial" w:cs="Arial" w:eastAsia="Arial" w:hAnsi="Arial"/>
                <w:b w:val="false"/>
                <w:bCs w:val="false"/>
                <w:i w:val="false"/>
                <w:iCs w:val="false"/>
                <w:color w:val="1A1A1A"/>
                <w:sz w:val="20"/>
                <w:szCs w:val="20"/>
              </w:rPr>
              <w:t xml:space="preserve">Behebung bei Schweregrad mittel (CVSS 4,0–6,9)</w:t>
            </w:r>
          </w:p>
        </w:tc>
        <w:tc>
          <w:tcPr>
            <w:tcW w:type="dxa" w:w="4703"/>
            <w:tcMar>
              <w:top w:type="dxa" w:w="60"/>
              <w:left w:type="dxa" w:w="90"/>
              <w:bottom w:type="dxa" w:w="60"/>
              <w:right w:type="dxa" w:w="90"/>
            </w:tcMar>
          </w:tcPr>
          <w:p>
            <w:pPr>
              <w:spacing w:after="0" w:line="264"/>
            </w:pPr>
            <w:r>
              <w:rPr>
                <w:rFonts w:ascii="Arial" w:cs="Arial" w:eastAsia="Arial" w:hAnsi="Arial"/>
                <w:b w:val="false"/>
                <w:bCs w:val="false"/>
                <w:i w:val="false"/>
                <w:iCs w:val="false"/>
                <w:color w:val="1A1A1A"/>
                <w:sz w:val="20"/>
                <w:szCs w:val="20"/>
              </w:rPr>
              <w:t xml:space="preserve">Ziel: [90] Tage nach Bestätigung</w:t>
            </w:r>
          </w:p>
        </w:tc>
      </w:tr>
      <w:tr>
        <w:tc>
          <w:tcPr>
            <w:tcW w:type="dxa" w:w="4703"/>
            <w:tcMar>
              <w:top w:type="dxa" w:w="60"/>
              <w:left w:type="dxa" w:w="90"/>
              <w:bottom w:type="dxa" w:w="60"/>
              <w:right w:type="dxa" w:w="90"/>
            </w:tcMar>
          </w:tcPr>
          <w:p>
            <w:pPr>
              <w:spacing w:after="0" w:line="264"/>
            </w:pPr>
            <w:r>
              <w:rPr>
                <w:rFonts w:ascii="Arial" w:cs="Arial" w:eastAsia="Arial" w:hAnsi="Arial"/>
                <w:b w:val="false"/>
                <w:bCs w:val="false"/>
                <w:i w:val="false"/>
                <w:iCs w:val="false"/>
                <w:color w:val="1A1A1A"/>
                <w:sz w:val="20"/>
                <w:szCs w:val="20"/>
              </w:rPr>
              <w:t xml:space="preserve">Behebung bei Schweregrad niedrig (CVSS 0,1–3,9)</w:t>
            </w:r>
          </w:p>
        </w:tc>
        <w:tc>
          <w:tcPr>
            <w:tcW w:type="dxa" w:w="4703"/>
            <w:tcMar>
              <w:top w:type="dxa" w:w="60"/>
              <w:left w:type="dxa" w:w="90"/>
              <w:bottom w:type="dxa" w:w="60"/>
              <w:right w:type="dxa" w:w="90"/>
            </w:tcMar>
          </w:tcPr>
          <w:p>
            <w:pPr>
              <w:spacing w:after="0" w:line="264"/>
            </w:pPr>
            <w:r>
              <w:rPr>
                <w:rFonts w:ascii="Arial" w:cs="Arial" w:eastAsia="Arial" w:hAnsi="Arial"/>
                <w:b w:val="false"/>
                <w:bCs w:val="false"/>
                <w:i w:val="false"/>
                <w:iCs w:val="false"/>
                <w:color w:val="1A1A1A"/>
                <w:sz w:val="20"/>
                <w:szCs w:val="20"/>
              </w:rPr>
              <w:t xml:space="preserve">mit der nächsten regulären Version</w:t>
            </w:r>
          </w:p>
        </w:tc>
      </w:tr>
    </w:tbl>
    <w:p>
      <w:pPr>
        <w:spacing w:after="120"/>
      </w:pPr>
      <w:r>
        <w:rPr>
          <w:sz w:val="2"/>
          <w:szCs w:val="2"/>
        </w:rPr>
        <w:t xml:space="preserve"/>
      </w:r>
    </w:p>
    <w:p>
      <w:pPr>
        <w:spacing w:after="120" w:line="276"/>
        <w:jc w:val="both"/>
      </w:pPr>
      <w:r>
        <w:rPr>
          <w:rFonts w:ascii="Arial" w:cs="Arial" w:eastAsia="Arial" w:hAnsi="Arial"/>
          <w:b w:val="false"/>
          <w:bCs w:val="false"/>
          <w:i w:val="false"/>
          <w:iCs w:val="false"/>
          <w:color w:val="1A1A1A"/>
          <w:sz w:val="21"/>
          <w:szCs w:val="21"/>
        </w:rPr>
        <w:t xml:space="preserve">Die Ziele sind Richtwerte, keine vertraglich zugesagten Fristen. Maßgeblich bleibt, dass NexAI Schwachstellen unverzüglich behandelt und Sicherheitsaktualisierungen unverzüglich und kostenlos verbreitet (Anhang I Teil II Nr. 2 und 8 CRA).</w:t>
      </w:r>
    </w:p>
    <w:p>
      <w:pPr>
        <w:pStyle w:val="ListParagraph"/>
        <w:numPr>
          <w:ilvl w:val="0"/>
          <w:numId w:val="1"/>
        </w:numPr>
        <w:spacing w:after="40" w:line="264"/>
      </w:pPr>
      <w:r>
        <w:rPr>
          <w:rFonts w:ascii="Arial" w:cs="Arial" w:eastAsia="Arial" w:hAnsi="Arial"/>
          <w:b w:val="false"/>
          <w:bCs w:val="false"/>
          <w:i w:val="false"/>
          <w:iCs w:val="false"/>
          <w:color w:val="1A1A1A"/>
          <w:sz w:val="21"/>
          <w:szCs w:val="21"/>
        </w:rPr>
        <w:t xml:space="preserve">Wir halten Sie über den Stand auf dem Laufenden und stimmen den Zeitpunkt der Veröffentlichung mit Ihnen ab.</w:t>
      </w:r>
    </w:p>
    <w:p>
      <w:pPr>
        <w:pStyle w:val="ListParagraph"/>
        <w:numPr>
          <w:ilvl w:val="0"/>
          <w:numId w:val="1"/>
        </w:numPr>
        <w:spacing w:after="40" w:line="264"/>
      </w:pPr>
      <w:r>
        <w:rPr>
          <w:rFonts w:ascii="Arial" w:cs="Arial" w:eastAsia="Arial" w:hAnsi="Arial"/>
          <w:b w:val="false"/>
          <w:bCs w:val="false"/>
          <w:i w:val="false"/>
          <w:iCs w:val="false"/>
          <w:color w:val="1A1A1A"/>
          <w:sz w:val="21"/>
          <w:szCs w:val="21"/>
        </w:rPr>
        <w:t xml:space="preserve">Steckt die Schwachstelle in einer Komponente eines Dritten (z. B. einer quelloffenen Bibliothek), melden wir sie auch dessen Hersteller oder Betreuer (Art. 13 Abs. 6 CRA).</w:t>
      </w:r>
    </w:p>
    <w:p>
      <w:pPr>
        <w:pStyle w:val="ListParagraph"/>
        <w:numPr>
          <w:ilvl w:val="0"/>
          <w:numId w:val="1"/>
        </w:numPr>
        <w:spacing w:after="40" w:line="264"/>
      </w:pPr>
      <w:r>
        <w:rPr>
          <w:rFonts w:ascii="Arial" w:cs="Arial" w:eastAsia="Arial" w:hAnsi="Arial"/>
          <w:b w:val="false"/>
          <w:bCs w:val="false"/>
          <w:i w:val="false"/>
          <w:iCs w:val="false"/>
          <w:color w:val="1A1A1A"/>
          <w:sz w:val="21"/>
          <w:szCs w:val="21"/>
        </w:rPr>
        <w:t xml:space="preserve">Wir zahlen keine Prämien (kein Bug-Bounty-Programm). Auf Wunsch danken wir Ihnen namentlich im Sicherheitshinweis.</w:t>
      </w:r>
    </w:p>
    <w:p>
      <w:pPr>
        <w:pStyle w:val="Heading1"/>
        <w:keepNext/>
        <w:spacing w:after="100" w:before="260"/>
      </w:pPr>
      <w:r>
        <w:rPr>
          <w:rFonts w:ascii="Arial" w:cs="Arial" w:eastAsia="Arial" w:hAnsi="Arial"/>
          <w:b/>
          <w:bCs/>
          <w:color w:val="1F3A8A"/>
          <w:sz w:val="24"/>
          <w:szCs w:val="24"/>
        </w:rPr>
        <w:t xml:space="preserve">6.  </w:t>
      </w:r>
      <w:r>
        <w:rPr>
          <w:rFonts w:ascii="Arial" w:cs="Arial" w:eastAsia="Arial" w:hAnsi="Arial"/>
          <w:b/>
          <w:bCs/>
          <w:i w:val="false"/>
          <w:iCs w:val="false"/>
          <w:color w:val="0B0B0F"/>
          <w:sz w:val="24"/>
          <w:szCs w:val="24"/>
        </w:rPr>
        <w:t xml:space="preserve">Rechtssicherheit für Meldende</w:t>
      </w:r>
    </w:p>
    <w:p>
      <w:pPr>
        <w:spacing w:after="80" w:line="276"/>
        <w:ind w:left="360" w:hanging="360"/>
        <w:jc w:val="both"/>
      </w:pPr>
      <w:r>
        <w:rPr>
          <w:rFonts w:ascii="Arial" w:cs="Arial" w:eastAsia="Arial" w:hAnsi="Arial"/>
          <w:color w:val="1A1A1A"/>
          <w:sz w:val="21"/>
          <w:szCs w:val="21"/>
        </w:rPr>
        <w:t xml:space="preserve">(1)	</w:t>
      </w:r>
      <w:r>
        <w:rPr>
          <w:rFonts w:ascii="Arial" w:cs="Arial" w:eastAsia="Arial" w:hAnsi="Arial"/>
          <w:b w:val="false"/>
          <w:bCs w:val="false"/>
          <w:i w:val="false"/>
          <w:iCs w:val="false"/>
          <w:color w:val="1A1A1A"/>
          <w:sz w:val="21"/>
          <w:szCs w:val="21"/>
        </w:rPr>
        <w:t xml:space="preserve">Wer in gutem Glauben eine Schwachstelle sucht, sie meldet und sich dabei an Ziffer 4 hält, handelt in unserem Sinn. NexAI stellt in diesem Fall </w:t>
      </w:r>
      <w:r>
        <w:rPr>
          <w:rFonts w:ascii="Arial" w:cs="Arial" w:eastAsia="Arial" w:hAnsi="Arial"/>
          <w:b/>
          <w:bCs/>
          <w:i w:val="false"/>
          <w:iCs w:val="false"/>
          <w:color w:val="1A1A1A"/>
          <w:sz w:val="21"/>
          <w:szCs w:val="21"/>
        </w:rPr>
        <w:t xml:space="preserve">keinen Strafantrag</w:t>
      </w:r>
      <w:r>
        <w:rPr>
          <w:rFonts w:ascii="Arial" w:cs="Arial" w:eastAsia="Arial" w:hAnsi="Arial"/>
          <w:b w:val="false"/>
          <w:bCs w:val="false"/>
          <w:i w:val="false"/>
          <w:iCs w:val="false"/>
          <w:color w:val="1A1A1A"/>
          <w:sz w:val="21"/>
          <w:szCs w:val="21"/>
        </w:rPr>
        <w:t xml:space="preserve"> und macht </w:t>
      </w:r>
      <w:r>
        <w:rPr>
          <w:rFonts w:ascii="Arial" w:cs="Arial" w:eastAsia="Arial" w:hAnsi="Arial"/>
          <w:b/>
          <w:bCs/>
          <w:i w:val="false"/>
          <w:iCs w:val="false"/>
          <w:color w:val="1A1A1A"/>
          <w:sz w:val="21"/>
          <w:szCs w:val="21"/>
        </w:rPr>
        <w:t xml:space="preserve">keine zivilrechtlichen Ansprüche</w:t>
      </w:r>
      <w:r>
        <w:rPr>
          <w:rFonts w:ascii="Arial" w:cs="Arial" w:eastAsia="Arial" w:hAnsi="Arial"/>
          <w:b w:val="false"/>
          <w:bCs w:val="false"/>
          <w:i w:val="false"/>
          <w:iCs w:val="false"/>
          <w:color w:val="1A1A1A"/>
          <w:sz w:val="21"/>
          <w:szCs w:val="21"/>
        </w:rPr>
        <w:t xml:space="preserve"> gegen Sie geltend.</w:t>
      </w:r>
    </w:p>
    <w:p>
      <w:pPr>
        <w:spacing w:after="80" w:line="276"/>
        <w:ind w:left="360" w:hanging="360"/>
        <w:jc w:val="both"/>
      </w:pPr>
      <w:r>
        <w:rPr>
          <w:rFonts w:ascii="Arial" w:cs="Arial" w:eastAsia="Arial" w:hAnsi="Arial"/>
          <w:color w:val="1A1A1A"/>
          <w:sz w:val="21"/>
          <w:szCs w:val="21"/>
        </w:rPr>
        <w:t xml:space="preserve">(2)	</w:t>
      </w:r>
      <w:r>
        <w:rPr>
          <w:rFonts w:ascii="Arial" w:cs="Arial" w:eastAsia="Arial" w:hAnsi="Arial"/>
          <w:b w:val="false"/>
          <w:bCs w:val="false"/>
          <w:i w:val="false"/>
          <w:iCs w:val="false"/>
          <w:color w:val="1A1A1A"/>
          <w:sz w:val="21"/>
          <w:szCs w:val="21"/>
        </w:rPr>
        <w:t xml:space="preserve">NexAI kann Behörden und Dritte nicht binden. Das Ausspähen von Daten (§ 202a StGB) wird zwar grundsätzlich nur auf Antrag verfolgt, die Strafverfolgungsbehörde kann aber wegen eines besonderen öffentlichen Interesses auch von Amts wegen einschreiten (§ 205 Abs. 1 Satz 2 StGB). Für Systeme unserer Kunden und anderer Dritter können wir keine Erlaubnis erteilen.</w:t>
      </w:r>
    </w:p>
    <w:p>
      <w:pPr>
        <w:spacing w:after="80" w:line="276"/>
        <w:ind w:left="360" w:hanging="360"/>
        <w:jc w:val="both"/>
      </w:pPr>
      <w:r>
        <w:rPr>
          <w:rFonts w:ascii="Arial" w:cs="Arial" w:eastAsia="Arial" w:hAnsi="Arial"/>
          <w:color w:val="1A1A1A"/>
          <w:sz w:val="21"/>
          <w:szCs w:val="21"/>
        </w:rPr>
        <w:t xml:space="preserve">(3)	</w:t>
      </w:r>
      <w:r>
        <w:rPr>
          <w:rFonts w:ascii="Arial" w:cs="Arial" w:eastAsia="Arial" w:hAnsi="Arial"/>
          <w:b w:val="false"/>
          <w:bCs w:val="false"/>
          <w:i w:val="false"/>
          <w:iCs w:val="false"/>
          <w:color w:val="1A1A1A"/>
          <w:sz w:val="21"/>
          <w:szCs w:val="21"/>
        </w:rPr>
        <w:t xml:space="preserve">Sind Sie unsicher, ob eine Prüfung noch von dieser Richtlinie gedeckt ist, fragen Sie uns bitte vorher.</w:t>
      </w:r>
    </w:p>
    <w:p>
      <w:pPr>
        <w:pStyle w:val="Heading1"/>
        <w:keepNext/>
        <w:spacing w:after="100" w:before="260"/>
      </w:pPr>
      <w:r>
        <w:rPr>
          <w:rFonts w:ascii="Arial" w:cs="Arial" w:eastAsia="Arial" w:hAnsi="Arial"/>
          <w:b/>
          <w:bCs/>
          <w:color w:val="1F3A8A"/>
          <w:sz w:val="24"/>
          <w:szCs w:val="24"/>
        </w:rPr>
        <w:t xml:space="preserve">7.  </w:t>
      </w:r>
      <w:r>
        <w:rPr>
          <w:rFonts w:ascii="Arial" w:cs="Arial" w:eastAsia="Arial" w:hAnsi="Arial"/>
          <w:b/>
          <w:bCs/>
          <w:i w:val="false"/>
          <w:iCs w:val="false"/>
          <w:color w:val="0B0B0F"/>
          <w:sz w:val="24"/>
          <w:szCs w:val="24"/>
        </w:rPr>
        <w:t xml:space="preserve">Koordinierte Veröffentlichung</w:t>
      </w:r>
    </w:p>
    <w:p>
      <w:pPr>
        <w:spacing w:after="80" w:line="276"/>
        <w:ind w:left="360" w:hanging="360"/>
        <w:jc w:val="both"/>
      </w:pPr>
      <w:r>
        <w:rPr>
          <w:rFonts w:ascii="Arial" w:cs="Arial" w:eastAsia="Arial" w:hAnsi="Arial"/>
          <w:color w:val="1A1A1A"/>
          <w:sz w:val="21"/>
          <w:szCs w:val="21"/>
        </w:rPr>
        <w:t xml:space="preserve">(1)	</w:t>
      </w:r>
      <w:r>
        <w:rPr>
          <w:rFonts w:ascii="Arial" w:cs="Arial" w:eastAsia="Arial" w:hAnsi="Arial"/>
          <w:b w:val="false"/>
          <w:bCs w:val="false"/>
          <w:i w:val="false"/>
          <w:iCs w:val="false"/>
          <w:color w:val="1A1A1A"/>
          <w:sz w:val="21"/>
          <w:szCs w:val="21"/>
        </w:rPr>
        <w:t xml:space="preserve">Bitte veröffentlichen Sie Einzelheiten zur Schwachstelle erst, wenn eine Sicherheitsaktualisierung bereitsteht und die Nutzer Gelegenheit hatten, sie einzuspielen – spätestens aber [90] Tage nach Ihrer Meldung, sofern wir nichts anderes vereinbaren. Wird die Schwachstelle bereits aktiv ausgenutzt, stimmen wir mit Ihnen einen kürzeren Zeitplan ab.</w:t>
      </w:r>
    </w:p>
    <w:p>
      <w:pPr>
        <w:spacing w:after="80" w:line="276"/>
        <w:ind w:left="360" w:hanging="360"/>
        <w:jc w:val="both"/>
      </w:pPr>
      <w:r>
        <w:rPr>
          <w:rFonts w:ascii="Arial" w:cs="Arial" w:eastAsia="Arial" w:hAnsi="Arial"/>
          <w:color w:val="1A1A1A"/>
          <w:sz w:val="21"/>
          <w:szCs w:val="21"/>
        </w:rPr>
        <w:t xml:space="preserve">(2)	</w:t>
      </w:r>
      <w:r>
        <w:rPr>
          <w:rFonts w:ascii="Arial" w:cs="Arial" w:eastAsia="Arial" w:hAnsi="Arial"/>
          <w:b w:val="false"/>
          <w:bCs w:val="false"/>
          <w:i w:val="false"/>
          <w:iCs w:val="false"/>
          <w:color w:val="1A1A1A"/>
          <w:sz w:val="21"/>
          <w:szCs w:val="21"/>
        </w:rPr>
        <w:t xml:space="preserve">Sobald eine Sicherheitsaktualisierung bereitgestellt ist, veröffentlicht NexAI einen </w:t>
      </w:r>
      <w:r>
        <w:rPr>
          <w:rFonts w:ascii="Arial" w:cs="Arial" w:eastAsia="Arial" w:hAnsi="Arial"/>
          <w:b/>
          <w:bCs/>
          <w:i w:val="false"/>
          <w:iCs w:val="false"/>
          <w:color w:val="1A1A1A"/>
          <w:sz w:val="21"/>
          <w:szCs w:val="21"/>
        </w:rPr>
        <w:t xml:space="preserve">Sicherheitshinweis</w:t>
      </w:r>
      <w:r>
        <w:rPr>
          <w:rFonts w:ascii="Arial" w:cs="Arial" w:eastAsia="Arial" w:hAnsi="Arial"/>
          <w:b w:val="false"/>
          <w:bCs w:val="false"/>
          <w:i w:val="false"/>
          <w:iCs w:val="false"/>
          <w:color w:val="1A1A1A"/>
          <w:sz w:val="21"/>
          <w:szCs w:val="21"/>
        </w:rPr>
        <w:t xml:space="preserve"> mit Beschreibung der Schwachstelle, den betroffenen Produkten und Versionen, den Auswirkungen, dem Schweregrad und den Schritten zur Behebung unter [https://nex-a-i.com/de/sicherheit] (Anhang I Teil II Nr. 4 CRA). In hinreichend begründeten Fällen kann NexAI die Veröffentlichung aufschieben, bis die Nutzer die Aktualisierung einspielen konnten.</w:t>
      </w:r>
    </w:p>
    <w:p>
      <w:pPr>
        <w:spacing w:after="80" w:line="276"/>
        <w:ind w:left="360" w:hanging="360"/>
        <w:jc w:val="both"/>
      </w:pPr>
      <w:r>
        <w:rPr>
          <w:rFonts w:ascii="Arial" w:cs="Arial" w:eastAsia="Arial" w:hAnsi="Arial"/>
          <w:color w:val="1A1A1A"/>
          <w:sz w:val="21"/>
          <w:szCs w:val="21"/>
        </w:rPr>
        <w:t xml:space="preserve">(3)	</w:t>
      </w:r>
      <w:r>
        <w:rPr>
          <w:rFonts w:ascii="Arial" w:cs="Arial" w:eastAsia="Arial" w:hAnsi="Arial"/>
          <w:b w:val="false"/>
          <w:bCs w:val="false"/>
          <w:i w:val="false"/>
          <w:iCs w:val="false"/>
          <w:color w:val="1A1A1A"/>
          <w:sz w:val="21"/>
          <w:szCs w:val="21"/>
        </w:rPr>
        <w:t xml:space="preserve">Kunden, deren Installation betroffen ist, informiert NexAI zusätzlich direkt, bei einer aktiv ausgenutzten Schwachstelle einschließlich der Maßnahmen, die sie selbst ergreifen können (Art. 14 Abs. 8 CRA).</w:t>
      </w:r>
    </w:p>
    <w:p>
      <w:pPr>
        <w:spacing w:after="80" w:line="276"/>
        <w:ind w:left="360" w:hanging="360"/>
        <w:jc w:val="both"/>
      </w:pPr>
      <w:r>
        <w:rPr>
          <w:rFonts w:ascii="Arial" w:cs="Arial" w:eastAsia="Arial" w:hAnsi="Arial"/>
          <w:color w:val="1A1A1A"/>
          <w:sz w:val="21"/>
          <w:szCs w:val="21"/>
        </w:rPr>
        <w:t xml:space="preserve">(4)	</w:t>
      </w:r>
      <w:r>
        <w:rPr>
          <w:rFonts w:ascii="Arial" w:cs="Arial" w:eastAsia="Arial" w:hAnsi="Arial"/>
          <w:b w:val="false"/>
          <w:bCs w:val="false"/>
          <w:i w:val="false"/>
          <w:iCs w:val="false"/>
          <w:color w:val="1A1A1A"/>
          <w:sz w:val="21"/>
          <w:szCs w:val="21"/>
        </w:rPr>
        <w:t xml:space="preserve">Bei Bedarf beantragt NexAI für die Schwachstelle eine CVE-Kennung.</w:t>
      </w:r>
    </w:p>
    <w:p>
      <w:pPr>
        <w:pStyle w:val="Heading1"/>
        <w:keepNext/>
        <w:spacing w:after="100" w:before="260"/>
      </w:pPr>
      <w:r>
        <w:rPr>
          <w:rFonts w:ascii="Arial" w:cs="Arial" w:eastAsia="Arial" w:hAnsi="Arial"/>
          <w:b/>
          <w:bCs/>
          <w:color w:val="1F3A8A"/>
          <w:sz w:val="24"/>
          <w:szCs w:val="24"/>
        </w:rPr>
        <w:t xml:space="preserve">8.  </w:t>
      </w:r>
      <w:r>
        <w:rPr>
          <w:rFonts w:ascii="Arial" w:cs="Arial" w:eastAsia="Arial" w:hAnsi="Arial"/>
          <w:b/>
          <w:bCs/>
          <w:i w:val="false"/>
          <w:iCs w:val="false"/>
          <w:color w:val="0B0B0F"/>
          <w:sz w:val="24"/>
          <w:szCs w:val="24"/>
        </w:rPr>
        <w:t xml:space="preserve">Meldungen an Behörden</w:t>
      </w:r>
    </w:p>
    <w:p>
      <w:pPr>
        <w:spacing w:after="80" w:line="276"/>
        <w:ind w:left="360" w:hanging="360"/>
        <w:jc w:val="both"/>
      </w:pPr>
      <w:r>
        <w:rPr>
          <w:rFonts w:ascii="Arial" w:cs="Arial" w:eastAsia="Arial" w:hAnsi="Arial"/>
          <w:color w:val="1A1A1A"/>
          <w:sz w:val="21"/>
          <w:szCs w:val="21"/>
        </w:rPr>
        <w:t xml:space="preserve">(1)	</w:t>
      </w:r>
      <w:r>
        <w:rPr>
          <w:rFonts w:ascii="Arial" w:cs="Arial" w:eastAsia="Arial" w:hAnsi="Arial"/>
          <w:b w:val="false"/>
          <w:bCs w:val="false"/>
          <w:i w:val="false"/>
          <w:iCs w:val="false"/>
          <w:color w:val="1A1A1A"/>
          <w:sz w:val="21"/>
          <w:szCs w:val="21"/>
        </w:rPr>
        <w:t xml:space="preserve">Erfährt NexAI von einer </w:t>
      </w:r>
      <w:r>
        <w:rPr>
          <w:rFonts w:ascii="Arial" w:cs="Arial" w:eastAsia="Arial" w:hAnsi="Arial"/>
          <w:b/>
          <w:bCs/>
          <w:i w:val="false"/>
          <w:iCs w:val="false"/>
          <w:color w:val="1A1A1A"/>
          <w:sz w:val="21"/>
          <w:szCs w:val="21"/>
        </w:rPr>
        <w:t xml:space="preserve">aktiv ausgenutzten Schwachstelle</w:t>
      </w:r>
      <w:r>
        <w:rPr>
          <w:rFonts w:ascii="Arial" w:cs="Arial" w:eastAsia="Arial" w:hAnsi="Arial"/>
          <w:b w:val="false"/>
          <w:bCs w:val="false"/>
          <w:i w:val="false"/>
          <w:iCs w:val="false"/>
          <w:color w:val="1A1A1A"/>
          <w:sz w:val="21"/>
          <w:szCs w:val="21"/>
        </w:rPr>
        <w:t xml:space="preserve"> in einem Produkt im Sinne des CRA, meldet NexAI sie über die einheitliche Meldeplattform der ENISA gleichzeitig dem Bundesamt für Sicherheit in der Informationstechnik (BSI) als koordinierendem CSIRT und der ENISA (Art. 14 Abs. 1 und 7 CRA). Ihren Namen geben wir dabei nur mit Ihrer Zustimmung an.</w:t>
      </w:r>
    </w:p>
    <w:p>
      <w:pPr>
        <w:spacing w:after="80" w:line="276"/>
        <w:ind w:left="360" w:hanging="360"/>
        <w:jc w:val="both"/>
      </w:pPr>
      <w:r>
        <w:rPr>
          <w:rFonts w:ascii="Arial" w:cs="Arial" w:eastAsia="Arial" w:hAnsi="Arial"/>
          <w:color w:val="1A1A1A"/>
          <w:sz w:val="21"/>
          <w:szCs w:val="21"/>
        </w:rPr>
        <w:t xml:space="preserve">(2)	</w:t>
      </w:r>
      <w:r>
        <w:rPr>
          <w:rFonts w:ascii="Arial" w:cs="Arial" w:eastAsia="Arial" w:hAnsi="Arial"/>
          <w:b w:val="false"/>
          <w:bCs w:val="false"/>
          <w:i w:val="false"/>
          <w:iCs w:val="false"/>
          <w:color w:val="1A1A1A"/>
          <w:sz w:val="21"/>
          <w:szCs w:val="21"/>
        </w:rPr>
        <w:t xml:space="preserve">Sie können eine Schwachstelle auch selbst dem BSI melden. Das BSI nimmt solche Meldungen entgegen, auch anonym (§ 5 Abs. 2 BSIG), und gibt sie zur Schließung an den Hersteller weiter (§ 5 Abs. 3 BSIG). Freiwillige Meldungen an ein koordinierendes CSIRT oder an die ENISA sieht auch Art. 15 CRA vor.</w:t>
      </w:r>
    </w:p>
    <w:p>
      <w:pPr>
        <w:pStyle w:val="Heading1"/>
        <w:keepNext/>
        <w:spacing w:after="100" w:before="260"/>
      </w:pPr>
      <w:r>
        <w:rPr>
          <w:rFonts w:ascii="Arial" w:cs="Arial" w:eastAsia="Arial" w:hAnsi="Arial"/>
          <w:b/>
          <w:bCs/>
          <w:color w:val="1F3A8A"/>
          <w:sz w:val="24"/>
          <w:szCs w:val="24"/>
        </w:rPr>
        <w:t xml:space="preserve">9.  </w:t>
      </w:r>
      <w:r>
        <w:rPr>
          <w:rFonts w:ascii="Arial" w:cs="Arial" w:eastAsia="Arial" w:hAnsi="Arial"/>
          <w:b/>
          <w:bCs/>
          <w:i w:val="false"/>
          <w:iCs w:val="false"/>
          <w:color w:val="0B0B0F"/>
          <w:sz w:val="24"/>
          <w:szCs w:val="24"/>
        </w:rPr>
        <w:t xml:space="preserve">Datenschutz</w:t>
      </w:r>
    </w:p>
    <w:p>
      <w:pPr>
        <w:spacing w:after="120" w:line="276"/>
        <w:jc w:val="both"/>
      </w:pPr>
      <w:r>
        <w:rPr>
          <w:rFonts w:ascii="Arial" w:cs="Arial" w:eastAsia="Arial" w:hAnsi="Arial"/>
          <w:b w:val="false"/>
          <w:bCs w:val="false"/>
          <w:i w:val="false"/>
          <w:iCs w:val="false"/>
          <w:color w:val="1A1A1A"/>
          <w:sz w:val="21"/>
          <w:szCs w:val="21"/>
        </w:rPr>
        <w:t xml:space="preserve">Ihre Angaben verarbeiten wir nur, um die Meldung zu bearbeiten, mit Ihnen zu kommunizieren und unsere gesetzlichen Melde- und Dokumentationspflichten zu erfüllen. Rechtsgrundlage ist Art. 6 Abs. 1 lit. f DSGVO (berechtigtes Interesse an der Sicherheit unserer Produkte und Dienste) und, soweit eine gesetzliche Meldepflicht besteht, Art. 6 Abs. 1 lit. c DSGVO. Die technische Beschreibung der Schwachstelle bewahren wir als Teil der Produktdokumentation auf (Art. 13 Abs. 7 und 13 CRA). Ihre Kontaktdaten löschen wir [12 Monate] nach Abschluss des Vorgangs, es sei denn, Sie möchten in einem Sicherheitshinweis genannt werden. Im Übrigen gilt unsere Datenschutzerklärung unter https://nex-a-i.com/de/privacy.</w:t>
      </w:r>
    </w:p>
    <w:p>
      <w:pPr>
        <w:pStyle w:val="Heading1"/>
        <w:keepNext/>
        <w:spacing w:after="100" w:before="260"/>
      </w:pPr>
      <w:r>
        <w:rPr>
          <w:rFonts w:ascii="Arial" w:cs="Arial" w:eastAsia="Arial" w:hAnsi="Arial"/>
          <w:b/>
          <w:bCs/>
          <w:color w:val="1F3A8A"/>
          <w:sz w:val="24"/>
          <w:szCs w:val="24"/>
        </w:rPr>
        <w:t xml:space="preserve">10.  </w:t>
      </w:r>
      <w:r>
        <w:rPr>
          <w:rFonts w:ascii="Arial" w:cs="Arial" w:eastAsia="Arial" w:hAnsi="Arial"/>
          <w:b/>
          <w:bCs/>
          <w:i w:val="false"/>
          <w:iCs w:val="false"/>
          <w:color w:val="0B0B0F"/>
          <w:sz w:val="24"/>
          <w:szCs w:val="24"/>
        </w:rPr>
        <w:t xml:space="preserve">Rechtlicher Rahmen (Belege)</w:t>
      </w:r>
    </w:p>
    <w:tbl>
      <w:tblPr>
        <w:tblW w:type="dxa" w:w="9406"/>
        <w:tblBorders>
          <w:top w:val="single" w:color="D1D5DB" w:sz="4"/>
          <w:left w:val="single" w:color="D1D5DB" w:sz="4"/>
          <w:bottom w:val="single" w:color="D1D5DB" w:sz="4"/>
          <w:right w:val="single" w:color="D1D5DB" w:sz="4"/>
          <w:insideH w:val="single" w:color="D1D5DB" w:sz="4"/>
          <w:insideV w:val="single" w:color="D1D5DB" w:sz="4"/>
        </w:tblBorders>
      </w:tblPr>
      <w:tblGrid>
        <w:gridCol w:w="3135"/>
        <w:gridCol w:w="3135"/>
        <w:gridCol w:w="3135"/>
      </w:tblGrid>
      <w:tr>
        <w:trPr>
          <w:tblHeader/>
        </w:trPr>
        <w:tc>
          <w:tcPr>
            <w:tcW w:type="dxa" w:w="3135"/>
            <w:shd w:fill="F3F4F6" w:val="clear"/>
            <w:tcMar>
              <w:top w:type="dxa" w:w="60"/>
              <w:left w:type="dxa" w:w="90"/>
              <w:bottom w:type="dxa" w:w="60"/>
              <w:right w:type="dxa" w:w="90"/>
            </w:tcMar>
          </w:tcPr>
          <w:p>
            <w:pPr>
              <w:spacing w:after="0" w:line="264"/>
            </w:pPr>
            <w:r>
              <w:rPr>
                <w:rFonts w:ascii="Arial" w:cs="Arial" w:eastAsia="Arial" w:hAnsi="Arial"/>
                <w:b/>
                <w:bCs/>
                <w:i w:val="false"/>
                <w:iCs w:val="false"/>
                <w:color w:val="0B0B0F"/>
                <w:sz w:val="20"/>
                <w:szCs w:val="20"/>
              </w:rPr>
              <w:t xml:space="preserve">Pflicht</w:t>
            </w:r>
          </w:p>
        </w:tc>
        <w:tc>
          <w:tcPr>
            <w:tcW w:type="dxa" w:w="3135"/>
            <w:shd w:fill="F3F4F6" w:val="clear"/>
            <w:tcMar>
              <w:top w:type="dxa" w:w="60"/>
              <w:left w:type="dxa" w:w="90"/>
              <w:bottom w:type="dxa" w:w="60"/>
              <w:right w:type="dxa" w:w="90"/>
            </w:tcMar>
          </w:tcPr>
          <w:p>
            <w:pPr>
              <w:spacing w:after="0" w:line="264"/>
            </w:pPr>
            <w:r>
              <w:rPr>
                <w:rFonts w:ascii="Arial" w:cs="Arial" w:eastAsia="Arial" w:hAnsi="Arial"/>
                <w:b/>
                <w:bCs/>
                <w:i w:val="false"/>
                <w:iCs w:val="false"/>
                <w:color w:val="0B0B0F"/>
                <w:sz w:val="20"/>
                <w:szCs w:val="20"/>
              </w:rPr>
              <w:t xml:space="preserve">Fundstelle</w:t>
            </w:r>
          </w:p>
        </w:tc>
        <w:tc>
          <w:tcPr>
            <w:tcW w:type="dxa" w:w="3135"/>
            <w:shd w:fill="F3F4F6" w:val="clear"/>
            <w:tcMar>
              <w:top w:type="dxa" w:w="60"/>
              <w:left w:type="dxa" w:w="90"/>
              <w:bottom w:type="dxa" w:w="60"/>
              <w:right w:type="dxa" w:w="90"/>
            </w:tcMar>
          </w:tcPr>
          <w:p>
            <w:pPr>
              <w:spacing w:after="0" w:line="264"/>
            </w:pPr>
            <w:r>
              <w:rPr>
                <w:rFonts w:ascii="Arial" w:cs="Arial" w:eastAsia="Arial" w:hAnsi="Arial"/>
                <w:b/>
                <w:bCs/>
                <w:i w:val="false"/>
                <w:iCs w:val="false"/>
                <w:color w:val="0B0B0F"/>
                <w:sz w:val="20"/>
                <w:szCs w:val="20"/>
              </w:rPr>
              <w:t xml:space="preserve">Wortlaut (Auszug)</w:t>
            </w:r>
          </w:p>
        </w:tc>
      </w:tr>
      <w:tr>
        <w:tc>
          <w:tcPr>
            <w:tcW w:type="dxa" w:w="3135"/>
            <w:tcMar>
              <w:top w:type="dxa" w:w="60"/>
              <w:left w:type="dxa" w:w="90"/>
              <w:bottom w:type="dxa" w:w="60"/>
              <w:right w:type="dxa" w:w="90"/>
            </w:tcMar>
          </w:tcPr>
          <w:p>
            <w:pPr>
              <w:spacing w:after="0" w:line="264"/>
            </w:pPr>
            <w:r>
              <w:rPr>
                <w:rFonts w:ascii="Arial" w:cs="Arial" w:eastAsia="Arial" w:hAnsi="Arial"/>
                <w:b w:val="false"/>
                <w:bCs w:val="false"/>
                <w:i w:val="false"/>
                <w:iCs w:val="false"/>
                <w:color w:val="1A1A1A"/>
                <w:sz w:val="20"/>
                <w:szCs w:val="20"/>
              </w:rPr>
              <w:t xml:space="preserve">Strategie zur koordinierten Offenlegung</w:t>
            </w:r>
          </w:p>
        </w:tc>
        <w:tc>
          <w:tcPr>
            <w:tcW w:type="dxa" w:w="3135"/>
            <w:tcMar>
              <w:top w:type="dxa" w:w="60"/>
              <w:left w:type="dxa" w:w="90"/>
              <w:bottom w:type="dxa" w:w="60"/>
              <w:right w:type="dxa" w:w="90"/>
            </w:tcMar>
          </w:tcPr>
          <w:p>
            <w:pPr>
              <w:spacing w:after="0" w:line="264"/>
            </w:pPr>
            <w:r>
              <w:rPr>
                <w:rFonts w:ascii="Arial" w:cs="Arial" w:eastAsia="Arial" w:hAnsi="Arial"/>
                <w:b w:val="false"/>
                <w:bCs w:val="false"/>
                <w:i w:val="false"/>
                <w:iCs w:val="false"/>
                <w:color w:val="1A1A1A"/>
                <w:sz w:val="20"/>
                <w:szCs w:val="20"/>
              </w:rPr>
              <w:t xml:space="preserve">Anhang I Teil II Nr. 5 CRA; Art. 13 Abs. 8 UAbs. 6 CRA</w:t>
            </w:r>
          </w:p>
        </w:tc>
        <w:tc>
          <w:tcPr>
            <w:tcW w:type="dxa" w:w="3135"/>
            <w:tcMar>
              <w:top w:type="dxa" w:w="60"/>
              <w:left w:type="dxa" w:w="90"/>
              <w:bottom w:type="dxa" w:w="60"/>
              <w:right w:type="dxa" w:w="90"/>
            </w:tcMar>
          </w:tcPr>
          <w:p>
            <w:pPr>
              <w:spacing w:after="0" w:line="264"/>
            </w:pPr>
            <w:r>
              <w:rPr>
                <w:rFonts w:ascii="Arial" w:cs="Arial" w:eastAsia="Arial" w:hAnsi="Arial"/>
                <w:b w:val="false"/>
                <w:bCs w:val="false"/>
                <w:i w:val="false"/>
                <w:iCs w:val="false"/>
                <w:color w:val="1A1A1A"/>
                <w:sz w:val="20"/>
                <w:szCs w:val="20"/>
              </w:rPr>
              <w:t xml:space="preserve">„eine Strategie für die koordinierte Offenlegung von Schwachstellen aufstellen und umsetzen“</w:t>
            </w:r>
          </w:p>
        </w:tc>
      </w:tr>
      <w:tr>
        <w:tc>
          <w:tcPr>
            <w:tcW w:type="dxa" w:w="3135"/>
            <w:tcMar>
              <w:top w:type="dxa" w:w="60"/>
              <w:left w:type="dxa" w:w="90"/>
              <w:bottom w:type="dxa" w:w="60"/>
              <w:right w:type="dxa" w:w="90"/>
            </w:tcMar>
          </w:tcPr>
          <w:p>
            <w:pPr>
              <w:spacing w:after="0" w:line="264"/>
            </w:pPr>
            <w:r>
              <w:rPr>
                <w:rFonts w:ascii="Arial" w:cs="Arial" w:eastAsia="Arial" w:hAnsi="Arial"/>
                <w:b w:val="false"/>
                <w:bCs w:val="false"/>
                <w:i w:val="false"/>
                <w:iCs w:val="false"/>
                <w:color w:val="1A1A1A"/>
                <w:sz w:val="20"/>
                <w:szCs w:val="20"/>
              </w:rPr>
              <w:t xml:space="preserve">Kontaktadresse für Schwachstellen</w:t>
            </w:r>
          </w:p>
        </w:tc>
        <w:tc>
          <w:tcPr>
            <w:tcW w:type="dxa" w:w="3135"/>
            <w:tcMar>
              <w:top w:type="dxa" w:w="60"/>
              <w:left w:type="dxa" w:w="90"/>
              <w:bottom w:type="dxa" w:w="60"/>
              <w:right w:type="dxa" w:w="90"/>
            </w:tcMar>
          </w:tcPr>
          <w:p>
            <w:pPr>
              <w:spacing w:after="0" w:line="264"/>
            </w:pPr>
            <w:r>
              <w:rPr>
                <w:rFonts w:ascii="Arial" w:cs="Arial" w:eastAsia="Arial" w:hAnsi="Arial"/>
                <w:b w:val="false"/>
                <w:bCs w:val="false"/>
                <w:i w:val="false"/>
                <w:iCs w:val="false"/>
                <w:color w:val="1A1A1A"/>
                <w:sz w:val="20"/>
                <w:szCs w:val="20"/>
              </w:rPr>
              <w:t xml:space="preserve">Anhang I Teil II Nr. 6 CRA</w:t>
            </w:r>
          </w:p>
        </w:tc>
        <w:tc>
          <w:tcPr>
            <w:tcW w:type="dxa" w:w="3135"/>
            <w:tcMar>
              <w:top w:type="dxa" w:w="60"/>
              <w:left w:type="dxa" w:w="90"/>
              <w:bottom w:type="dxa" w:w="60"/>
              <w:right w:type="dxa" w:w="90"/>
            </w:tcMar>
          </w:tcPr>
          <w:p>
            <w:pPr>
              <w:spacing w:after="0" w:line="264"/>
            </w:pPr>
            <w:r>
              <w:rPr>
                <w:rFonts w:ascii="Arial" w:cs="Arial" w:eastAsia="Arial" w:hAnsi="Arial"/>
                <w:b w:val="false"/>
                <w:bCs w:val="false"/>
                <w:i w:val="false"/>
                <w:iCs w:val="false"/>
                <w:color w:val="1A1A1A"/>
                <w:sz w:val="20"/>
                <w:szCs w:val="20"/>
              </w:rPr>
              <w:t xml:space="preserve">„… u. a. eine Kontaktadresse für die Meldung der in dem Produkt mit digitalen Elementen entdeckten Schwachstellen angeben“</w:t>
            </w:r>
          </w:p>
        </w:tc>
      </w:tr>
      <w:tr>
        <w:tc>
          <w:tcPr>
            <w:tcW w:type="dxa" w:w="3135"/>
            <w:tcMar>
              <w:top w:type="dxa" w:w="60"/>
              <w:left w:type="dxa" w:w="90"/>
              <w:bottom w:type="dxa" w:w="60"/>
              <w:right w:type="dxa" w:w="90"/>
            </w:tcMar>
          </w:tcPr>
          <w:p>
            <w:pPr>
              <w:spacing w:after="0" w:line="264"/>
            </w:pPr>
            <w:r>
              <w:rPr>
                <w:rFonts w:ascii="Arial" w:cs="Arial" w:eastAsia="Arial" w:hAnsi="Arial"/>
                <w:b w:val="false"/>
                <w:bCs w:val="false"/>
                <w:i w:val="false"/>
                <w:iCs w:val="false"/>
                <w:color w:val="1A1A1A"/>
                <w:sz w:val="20"/>
                <w:szCs w:val="20"/>
              </w:rPr>
              <w:t xml:space="preserve">Zentrale Anlaufstelle, Wahl des Kommunikationsmittels</w:t>
            </w:r>
          </w:p>
        </w:tc>
        <w:tc>
          <w:tcPr>
            <w:tcW w:type="dxa" w:w="3135"/>
            <w:tcMar>
              <w:top w:type="dxa" w:w="60"/>
              <w:left w:type="dxa" w:w="90"/>
              <w:bottom w:type="dxa" w:w="60"/>
              <w:right w:type="dxa" w:w="90"/>
            </w:tcMar>
          </w:tcPr>
          <w:p>
            <w:pPr>
              <w:spacing w:after="0" w:line="264"/>
            </w:pPr>
            <w:r>
              <w:rPr>
                <w:rFonts w:ascii="Arial" w:cs="Arial" w:eastAsia="Arial" w:hAnsi="Arial"/>
                <w:b w:val="false"/>
                <w:bCs w:val="false"/>
                <w:i w:val="false"/>
                <w:iCs w:val="false"/>
                <w:color w:val="1A1A1A"/>
                <w:sz w:val="20"/>
                <w:szCs w:val="20"/>
              </w:rPr>
              <w:t xml:space="preserve">Art. 13 Abs. 17 CRA</w:t>
            </w:r>
          </w:p>
        </w:tc>
        <w:tc>
          <w:tcPr>
            <w:tcW w:type="dxa" w:w="3135"/>
            <w:tcMar>
              <w:top w:type="dxa" w:w="60"/>
              <w:left w:type="dxa" w:w="90"/>
              <w:bottom w:type="dxa" w:w="60"/>
              <w:right w:type="dxa" w:w="90"/>
            </w:tcMar>
          </w:tcPr>
          <w:p>
            <w:pPr>
              <w:spacing w:after="0" w:line="264"/>
            </w:pPr>
            <w:r>
              <w:rPr>
                <w:rFonts w:ascii="Arial" w:cs="Arial" w:eastAsia="Arial" w:hAnsi="Arial"/>
                <w:b w:val="false"/>
                <w:bCs w:val="false"/>
                <w:i w:val="false"/>
                <w:iCs w:val="false"/>
                <w:color w:val="1A1A1A"/>
                <w:sz w:val="20"/>
                <w:szCs w:val="20"/>
              </w:rPr>
              <w:t xml:space="preserve">„… wobei diese Mittel nicht auf automatisierte Instrumente beschränkt werden dürfen“</w:t>
            </w:r>
          </w:p>
        </w:tc>
      </w:tr>
      <w:tr>
        <w:tc>
          <w:tcPr>
            <w:tcW w:type="dxa" w:w="3135"/>
            <w:tcMar>
              <w:top w:type="dxa" w:w="60"/>
              <w:left w:type="dxa" w:w="90"/>
              <w:bottom w:type="dxa" w:w="60"/>
              <w:right w:type="dxa" w:w="90"/>
            </w:tcMar>
          </w:tcPr>
          <w:p>
            <w:pPr>
              <w:spacing w:after="0" w:line="264"/>
            </w:pPr>
            <w:r>
              <w:rPr>
                <w:rFonts w:ascii="Arial" w:cs="Arial" w:eastAsia="Arial" w:hAnsi="Arial"/>
                <w:b w:val="false"/>
                <w:bCs w:val="false"/>
                <w:i w:val="false"/>
                <w:iCs w:val="false"/>
                <w:color w:val="1A1A1A"/>
                <w:sz w:val="20"/>
                <w:szCs w:val="20"/>
              </w:rPr>
              <w:t xml:space="preserve">Veröffentlichung nach Behebung</w:t>
            </w:r>
          </w:p>
        </w:tc>
        <w:tc>
          <w:tcPr>
            <w:tcW w:type="dxa" w:w="3135"/>
            <w:tcMar>
              <w:top w:type="dxa" w:w="60"/>
              <w:left w:type="dxa" w:w="90"/>
              <w:bottom w:type="dxa" w:w="60"/>
              <w:right w:type="dxa" w:w="90"/>
            </w:tcMar>
          </w:tcPr>
          <w:p>
            <w:pPr>
              <w:spacing w:after="0" w:line="264"/>
            </w:pPr>
            <w:r>
              <w:rPr>
                <w:rFonts w:ascii="Arial" w:cs="Arial" w:eastAsia="Arial" w:hAnsi="Arial"/>
                <w:b w:val="false"/>
                <w:bCs w:val="false"/>
                <w:i w:val="false"/>
                <w:iCs w:val="false"/>
                <w:color w:val="1A1A1A"/>
                <w:sz w:val="20"/>
                <w:szCs w:val="20"/>
              </w:rPr>
              <w:t xml:space="preserve">Anhang I Teil II Nr. 4 CRA</w:t>
            </w:r>
          </w:p>
        </w:tc>
        <w:tc>
          <w:tcPr>
            <w:tcW w:type="dxa" w:w="3135"/>
            <w:tcMar>
              <w:top w:type="dxa" w:w="60"/>
              <w:left w:type="dxa" w:w="90"/>
              <w:bottom w:type="dxa" w:w="60"/>
              <w:right w:type="dxa" w:w="90"/>
            </w:tcMar>
          </w:tcPr>
          <w:p>
            <w:pPr>
              <w:spacing w:after="0" w:line="264"/>
            </w:pPr>
            <w:r>
              <w:rPr>
                <w:rFonts w:ascii="Arial" w:cs="Arial" w:eastAsia="Arial" w:hAnsi="Arial"/>
                <w:b w:val="false"/>
                <w:bCs w:val="false"/>
                <w:i w:val="false"/>
                <w:iCs w:val="false"/>
                <w:color w:val="1A1A1A"/>
                <w:sz w:val="20"/>
                <w:szCs w:val="20"/>
              </w:rPr>
              <w:t xml:space="preserve">„sobald eine Sicherheitsaktualisierung bereitgestellt worden ist, Informationen über beseitigte Schwachstellen teilen und veröffentlichen“</w:t>
            </w:r>
          </w:p>
        </w:tc>
      </w:tr>
      <w:tr>
        <w:tc>
          <w:tcPr>
            <w:tcW w:type="dxa" w:w="3135"/>
            <w:tcMar>
              <w:top w:type="dxa" w:w="60"/>
              <w:left w:type="dxa" w:w="90"/>
              <w:bottom w:type="dxa" w:w="60"/>
              <w:right w:type="dxa" w:w="90"/>
            </w:tcMar>
          </w:tcPr>
          <w:p>
            <w:pPr>
              <w:spacing w:after="0" w:line="264"/>
            </w:pPr>
            <w:r>
              <w:rPr>
                <w:rFonts w:ascii="Arial" w:cs="Arial" w:eastAsia="Arial" w:hAnsi="Arial"/>
                <w:b w:val="false"/>
                <w:bCs w:val="false"/>
                <w:i w:val="false"/>
                <w:iCs w:val="false"/>
                <w:color w:val="1A1A1A"/>
                <w:sz w:val="20"/>
                <w:szCs w:val="20"/>
              </w:rPr>
              <w:t xml:space="preserve">Schwachstellen in Fremdkomponenten</w:t>
            </w:r>
          </w:p>
        </w:tc>
        <w:tc>
          <w:tcPr>
            <w:tcW w:type="dxa" w:w="3135"/>
            <w:tcMar>
              <w:top w:type="dxa" w:w="60"/>
              <w:left w:type="dxa" w:w="90"/>
              <w:bottom w:type="dxa" w:w="60"/>
              <w:right w:type="dxa" w:w="90"/>
            </w:tcMar>
          </w:tcPr>
          <w:p>
            <w:pPr>
              <w:spacing w:after="0" w:line="264"/>
            </w:pPr>
            <w:r>
              <w:rPr>
                <w:rFonts w:ascii="Arial" w:cs="Arial" w:eastAsia="Arial" w:hAnsi="Arial"/>
                <w:b w:val="false"/>
                <w:bCs w:val="false"/>
                <w:i w:val="false"/>
                <w:iCs w:val="false"/>
                <w:color w:val="1A1A1A"/>
                <w:sz w:val="20"/>
                <w:szCs w:val="20"/>
              </w:rPr>
              <w:t xml:space="preserve">Art. 13 Abs. 6 CRA</w:t>
            </w:r>
          </w:p>
        </w:tc>
        <w:tc>
          <w:tcPr>
            <w:tcW w:type="dxa" w:w="3135"/>
            <w:tcMar>
              <w:top w:type="dxa" w:w="60"/>
              <w:left w:type="dxa" w:w="90"/>
              <w:bottom w:type="dxa" w:w="60"/>
              <w:right w:type="dxa" w:w="90"/>
            </w:tcMar>
          </w:tcPr>
          <w:p>
            <w:pPr>
              <w:spacing w:after="0" w:line="264"/>
            </w:pPr>
            <w:r>
              <w:rPr>
                <w:rFonts w:ascii="Arial" w:cs="Arial" w:eastAsia="Arial" w:hAnsi="Arial"/>
                <w:b w:val="false"/>
                <w:bCs w:val="false"/>
                <w:i w:val="false"/>
                <w:iCs w:val="false"/>
                <w:color w:val="1A1A1A"/>
                <w:sz w:val="20"/>
                <w:szCs w:val="20"/>
              </w:rPr>
              <w:t xml:space="preserve">„… meldet er die Schwachstelle der Person oder Einrichtung, die diese Komponente herstellt oder wartet“</w:t>
            </w:r>
          </w:p>
        </w:tc>
      </w:tr>
      <w:tr>
        <w:tc>
          <w:tcPr>
            <w:tcW w:type="dxa" w:w="3135"/>
            <w:tcMar>
              <w:top w:type="dxa" w:w="60"/>
              <w:left w:type="dxa" w:w="90"/>
              <w:bottom w:type="dxa" w:w="60"/>
              <w:right w:type="dxa" w:w="90"/>
            </w:tcMar>
          </w:tcPr>
          <w:p>
            <w:pPr>
              <w:spacing w:after="0" w:line="264"/>
            </w:pPr>
            <w:r>
              <w:rPr>
                <w:rFonts w:ascii="Arial" w:cs="Arial" w:eastAsia="Arial" w:hAnsi="Arial"/>
                <w:b w:val="false"/>
                <w:bCs w:val="false"/>
                <w:i w:val="false"/>
                <w:iCs w:val="false"/>
                <w:color w:val="1A1A1A"/>
                <w:sz w:val="20"/>
                <w:szCs w:val="20"/>
              </w:rPr>
              <w:t xml:space="preserve">Meldepflicht bei aktiver Ausnutzung</w:t>
            </w:r>
          </w:p>
        </w:tc>
        <w:tc>
          <w:tcPr>
            <w:tcW w:type="dxa" w:w="3135"/>
            <w:tcMar>
              <w:top w:type="dxa" w:w="60"/>
              <w:left w:type="dxa" w:w="90"/>
              <w:bottom w:type="dxa" w:w="60"/>
              <w:right w:type="dxa" w:w="90"/>
            </w:tcMar>
          </w:tcPr>
          <w:p>
            <w:pPr>
              <w:spacing w:after="0" w:line="264"/>
            </w:pPr>
            <w:r>
              <w:rPr>
                <w:rFonts w:ascii="Arial" w:cs="Arial" w:eastAsia="Arial" w:hAnsi="Arial"/>
                <w:b w:val="false"/>
                <w:bCs w:val="false"/>
                <w:i w:val="false"/>
                <w:iCs w:val="false"/>
                <w:color w:val="1A1A1A"/>
                <w:sz w:val="20"/>
                <w:szCs w:val="20"/>
              </w:rPr>
              <w:t xml:space="preserve">Art. 14 Abs. 1 CRA; Art. 71 Abs. 2 UAbs. 2 CRA</w:t>
            </w:r>
          </w:p>
        </w:tc>
        <w:tc>
          <w:tcPr>
            <w:tcW w:type="dxa" w:w="3135"/>
            <w:tcMar>
              <w:top w:type="dxa" w:w="60"/>
              <w:left w:type="dxa" w:w="90"/>
              <w:bottom w:type="dxa" w:w="60"/>
              <w:right w:type="dxa" w:w="90"/>
            </w:tcMar>
          </w:tcPr>
          <w:p>
            <w:pPr>
              <w:spacing w:after="0" w:line="264"/>
            </w:pPr>
            <w:r>
              <w:rPr>
                <w:rFonts w:ascii="Arial" w:cs="Arial" w:eastAsia="Arial" w:hAnsi="Arial"/>
                <w:b w:val="false"/>
                <w:bCs w:val="false"/>
                <w:i w:val="false"/>
                <w:iCs w:val="false"/>
                <w:color w:val="1A1A1A"/>
                <w:sz w:val="20"/>
                <w:szCs w:val="20"/>
              </w:rPr>
              <w:t xml:space="preserve">„Artikel 14 gilt jedoch ab dem 11. September 2026“</w:t>
            </w:r>
          </w:p>
        </w:tc>
      </w:tr>
      <w:tr>
        <w:tc>
          <w:tcPr>
            <w:tcW w:type="dxa" w:w="3135"/>
            <w:tcMar>
              <w:top w:type="dxa" w:w="60"/>
              <w:left w:type="dxa" w:w="90"/>
              <w:bottom w:type="dxa" w:w="60"/>
              <w:right w:type="dxa" w:w="90"/>
            </w:tcMar>
          </w:tcPr>
          <w:p>
            <w:pPr>
              <w:spacing w:after="0" w:line="264"/>
            </w:pPr>
            <w:r>
              <w:rPr>
                <w:rFonts w:ascii="Arial" w:cs="Arial" w:eastAsia="Arial" w:hAnsi="Arial"/>
                <w:b w:val="false"/>
                <w:bCs w:val="false"/>
                <w:i w:val="false"/>
                <w:iCs w:val="false"/>
                <w:color w:val="1A1A1A"/>
                <w:sz w:val="20"/>
                <w:szCs w:val="20"/>
              </w:rPr>
              <w:t xml:space="preserve">BSI als Koordinator</w:t>
            </w:r>
          </w:p>
        </w:tc>
        <w:tc>
          <w:tcPr>
            <w:tcW w:type="dxa" w:w="3135"/>
            <w:tcMar>
              <w:top w:type="dxa" w:w="60"/>
              <w:left w:type="dxa" w:w="90"/>
              <w:bottom w:type="dxa" w:w="60"/>
              <w:right w:type="dxa" w:w="90"/>
            </w:tcMar>
          </w:tcPr>
          <w:p>
            <w:pPr>
              <w:spacing w:after="0" w:line="264"/>
            </w:pPr>
            <w:r>
              <w:rPr>
                <w:rFonts w:ascii="Arial" w:cs="Arial" w:eastAsia="Arial" w:hAnsi="Arial"/>
                <w:b w:val="false"/>
                <w:bCs w:val="false"/>
                <w:i w:val="false"/>
                <w:iCs w:val="false"/>
                <w:color w:val="1A1A1A"/>
                <w:sz w:val="20"/>
                <w:szCs w:val="20"/>
              </w:rPr>
              <w:t xml:space="preserve">§ 5 Abs. 1 Satz 2 BSIG</w:t>
            </w:r>
          </w:p>
        </w:tc>
        <w:tc>
          <w:tcPr>
            <w:tcW w:type="dxa" w:w="3135"/>
            <w:tcMar>
              <w:top w:type="dxa" w:w="60"/>
              <w:left w:type="dxa" w:w="90"/>
              <w:bottom w:type="dxa" w:w="60"/>
              <w:right w:type="dxa" w:w="90"/>
            </w:tcMar>
          </w:tcPr>
          <w:p>
            <w:pPr>
              <w:spacing w:after="0" w:line="264"/>
            </w:pPr>
            <w:r>
              <w:rPr>
                <w:rFonts w:ascii="Arial" w:cs="Arial" w:eastAsia="Arial" w:hAnsi="Arial"/>
                <w:b w:val="false"/>
                <w:bCs w:val="false"/>
                <w:i w:val="false"/>
                <w:iCs w:val="false"/>
                <w:color w:val="1A1A1A"/>
                <w:sz w:val="20"/>
                <w:szCs w:val="20"/>
              </w:rPr>
              <w:t xml:space="preserve">„Das Bundesamt ist dabei der nationale Koordinator für die Zwecke einer koordinierten Offenlegung von Schwachstellen …“</w:t>
            </w:r>
          </w:p>
        </w:tc>
      </w:tr>
    </w:tbl>
    <w:p>
      <w:pPr>
        <w:spacing w:after="120"/>
      </w:pPr>
      <w:r>
        <w:rPr>
          <w:sz w:val="2"/>
          <w:szCs w:val="2"/>
        </w:rPr>
        <w:t xml:space="preserve"/>
      </w:r>
    </w:p>
    <w:p>
      <w:pPr>
        <w:spacing w:after="140" w:before="80"/>
      </w:pPr>
      <w:r>
        <w:rPr>
          <w:rFonts w:ascii="Arial" w:cs="Arial" w:eastAsia="Arial" w:hAnsi="Arial"/>
          <w:b w:val="false"/>
          <w:bCs w:val="false"/>
          <w:i/>
          <w:iCs/>
          <w:color w:val="6B7280"/>
          <w:sz w:val="18"/>
          <w:szCs w:val="18"/>
        </w:rPr>
        <w:t xml:space="preserve">Fundstellen: Verordnung (EU) 2024/2847, konsolidierte Fassung vom 20.11.2024 (EUR-Lex, CELEX 02024R2847-20241120; laut CELLAR am 18.10.2026 die neueste konsolidierte Fassung); BSIG in der Fassung nach Art. 4 G v. 11.3.2026; StGB und DSGVO in der am 18.10.2026 geltenden Fassung.</w:t>
      </w:r>
    </w:p>
    <w:sectPr>
      <w:footerReference w:type="default" r:id="rId7"/>
      <w:pgSz w:w="11906" w:h="16838" w:orient="portrait"/>
      <w:pgMar w:top="1250" w:right="1250" w:bottom="1250" w:left="12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1D5DB" w:sz="4" w:space="6"/>
      </w:pBdr>
      <w:tabs>
        <w:tab w:val="right" w:pos="9406"/>
      </w:tabs>
    </w:pPr>
    <w:r>
      <w:rPr>
        <w:rFonts w:ascii="Arial" w:cs="Arial" w:eastAsia="Arial" w:hAnsi="Arial"/>
        <w:color w:val="6B7280"/>
        <w:sz w:val="15"/>
        <w:szCs w:val="15"/>
      </w:rPr>
      <w:t xml:space="preserve">NexAI – Next Generation Artificial Intelligence GbR</w:t>
    </w:r>
    <w:r>
      <w:rPr>
        <w:rFonts w:ascii="Arial" w:cs="Arial" w:eastAsia="Arial" w:hAnsi="Arial"/>
        <w:sz w:val="15"/>
        <w:szCs w:val="15"/>
      </w:rPr>
      <w:t xml:space="preserve">	</w:t>
    </w:r>
    <w:r>
      <w:rPr>
        <w:rFonts w:ascii="Arial" w:cs="Arial" w:eastAsia="Arial" w:hAnsi="Arial"/>
        <w:color w:val="6B7280"/>
        <w:sz w:val="15"/>
        <w:szCs w:val="15"/>
      </w:rPr>
      <w:t xml:space="preserve">Seite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Richtlinie zur koordinierten Offenlegung von Schwachstellen</dc:title>
  <dc:creator>NexAI</dc:creator>
  <cp:lastModifiedBy>Un-named</cp:lastModifiedBy>
  <cp:revision>1</cp:revision>
  <dcterms:created xsi:type="dcterms:W3CDTF">2026-10-18T09:44:33.143Z</dcterms:created>
  <dcterms:modified xsi:type="dcterms:W3CDTF">2026-10-18T09:44:33.145Z</dcterms:modified>
</cp:coreProperties>
</file>

<file path=docProps/custom.xml><?xml version="1.0" encoding="utf-8"?>
<Properties xmlns="http://schemas.openxmlformats.org/officeDocument/2006/custom-properties" xmlns:vt="http://schemas.openxmlformats.org/officeDocument/2006/docPropsVTypes"/>
</file>