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A–D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und Automatisierung, insbesondere die Bereitstellung, Einrichtung und den Betrieb von KI-Agenten / digitalen Assistenten (Voice Agent, Chat Agent, Social-Media-Agent, Vertriebs-/Akquise-Agent,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die Erstellung von Websites und damit verbundene Leistungen. Personen, die mit den Agenten interagieren (z. B. Anrufer, Chat-Kontakte, angesprochene Kontakte),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C (SLA), (d) Anlage A (Leistungsbeschreibung), (e) Anlage D (Abnahmeprotokoll), (f)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6 und § 7) können in Textform, per E-Mail oder über ein von NexAI bereitgestelltes Ticket-/Freigabesystem erfolgen.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Erstellung von Websites sowie die Ersteinrichtung und Konfiguration von Agenten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gemäß dem Verfahren der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Nimmt der Kunde die im Wesentlichen vertragsgemäße Leistung nicht innerhalb der in Anlage D genannten Frist ab oder nutzt er sie produktiv, gilt die Abnahme als erfolgt; § 640 Abs. 2 BGB bleibt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Projektleistungen beträgt die </w:t>
      </w:r>
      <w:r>
        <w:rPr>
          <w:rFonts w:ascii="Arial" w:cs="Arial" w:eastAsia="Arial" w:hAnsi="Arial"/>
          <w:b/>
          <w:bCs/>
          <w:i w:val="false"/>
          <w:iCs w:val="false"/>
          <w:color w:val="1A1A1A"/>
          <w:sz w:val="21"/>
          <w:szCs w:val="21"/>
        </w:rPr>
        <w:t xml:space="preserve">Gewährleistungsfrist ein (1) Jahr ab Abnahme</w:t>
      </w:r>
      <w:r>
        <w:rPr>
          <w:rFonts w:ascii="Arial" w:cs="Arial" w:eastAsia="Arial" w:hAnsi="Arial"/>
          <w:b w:val="false"/>
          <w:bCs w:val="false"/>
          <w:i w:val="false"/>
          <w:iCs w:val="false"/>
          <w:color w:val="1A1A1A"/>
          <w:sz w:val="21"/>
          <w:szCs w:val="21"/>
        </w:rPr>
        <w:t xml:space="preserve">. Dies gilt nicht für Schäden aus der Verletzung des Lebens, des Körpers oder der Gesundheit, für Vorsatz und grobe Fahrlässigkeit, für arglistig verschwiegene Mängel sowie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 (Dienstvertrag)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richten sich nach Dienstvertragsrecht (§ 611 BGB). Geschuldet ist das fachgerechte Tätigwerden nach den anerkannten Regeln der Technik, </w:t>
      </w:r>
      <w:r>
        <w:rPr>
          <w:rFonts w:ascii="Arial" w:cs="Arial" w:eastAsia="Arial" w:hAnsi="Arial"/>
          <w:b/>
          <w:bCs/>
          <w:i w:val="false"/>
          <w:iCs w:val="false"/>
          <w:color w:val="1A1A1A"/>
          <w:sz w:val="21"/>
          <w:szCs w:val="21"/>
        </w:rPr>
        <w:t xml:space="preserve">nicht ein bestimmter Erfolg</w:t>
      </w:r>
      <w:r>
        <w:rPr>
          <w:rFonts w:ascii="Arial" w:cs="Arial" w:eastAsia="Arial" w:hAnsi="Arial"/>
          <w:b w:val="false"/>
          <w:bCs w:val="false"/>
          <w:i w:val="false"/>
          <w:iCs w:val="false"/>
          <w:color w:val="1A1A1A"/>
          <w:sz w:val="21"/>
          <w:szCs w:val="21"/>
        </w:rPr>
        <w:t xml:space="preserve"> (z. B. eine bestimmte Zahl an Terminen, Leads, Abschlüssen oder Umsätzen).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Verfügbarkeitsziele,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Aufzeichnung und Transkription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Sie erfolgt ausschließlich auf ausdrückliche, dokumentierte Weisung des Kunden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Wird eine Aufzeichnung oder Transkription auf Weisung des Kunden aktiviert, erfolgt dies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Aufzeichnung/Transkription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w:t>
      </w:r>
      <w:r>
        <w:rPr>
          <w:rFonts w:ascii="Arial" w:cs="Arial" w:eastAsia="Arial" w:hAnsi="Arial"/>
          <w:b/>
          <w:bCs/>
          <w:i w:val="false"/>
          <w:iCs w:val="false"/>
          <w:color w:val="1A1A1A"/>
          <w:sz w:val="21"/>
          <w:szCs w:val="21"/>
        </w:rPr>
        <w:t xml:space="preserve">nicht bevollmächtigt, rechtsverbindliche Erklärungen abzugeben</w:t>
      </w:r>
      <w:r>
        <w:rPr>
          <w:rFonts w:ascii="Arial" w:cs="Arial" w:eastAsia="Arial" w:hAnsi="Arial"/>
          <w:b w:val="false"/>
          <w:bCs w:val="false"/>
          <w:i w:val="false"/>
          <w:iCs w:val="false"/>
          <w:color w:val="1A1A1A"/>
          <w:sz w:val="21"/>
          <w:szCs w:val="21"/>
        </w:rPr>
        <w:t xml:space="preserve"> — insbesondere keine verbindlichen Preis- oder Konditionszusagen, keine Bestellungen und keinen Vertragsschluss namens des Kunden oder namens NexAIs.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bis zur Erteilung einer USt-IdNr. wird die Steuernummer auf der Rechnung ausgewiesen.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Einrichtungs-/Setup-Gebühr</w:t>
      </w:r>
      <w:r>
        <w:rPr>
          <w:rFonts w:ascii="Arial" w:cs="Arial" w:eastAsia="Arial" w:hAnsi="Arial"/>
          <w:b w:val="false"/>
          <w:bCs w:val="false"/>
          <w:i w:val="false"/>
          <w:iCs w:val="false"/>
          <w:color w:val="1A1A1A"/>
          <w:sz w:val="21"/>
          <w:szCs w:val="21"/>
        </w:rPr>
        <w:t xml:space="preserve"> erhoben. Geschuldet ist ausschließlich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"____ EUR/Min.")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jährliche Beitrag ist im Voraus für die jeweilige Laufzeit fällig; der monatliche Beitrag ist im Voraus zu Beginn des jeweiligen Monats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 Rechnungen sind, sofern nichts anderes vereinbart ist, ohne Abzug binnen 14 Tagen ab Zugang zur Zahlung fällig.</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(9)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 Beiträge und Einheitspreise zur Anpassung an veränderte Kosten (insbesondere Kosten der Subunternehmer / Drittdienste, Personal-, Energie- und Infrastrukturkosten) anzupassen. Kostensenkungen sind in gleichem Maße weiterzugeben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Preisanpassungen werden dem Kunden mit einer Frist von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Wirksamwerden in Textform angekündigt. Eine </w:t>
      </w:r>
      <w:r>
        <w:rPr>
          <w:rFonts w:ascii="Arial" w:cs="Arial" w:eastAsia="Arial" w:hAnsi="Arial"/>
          <w:b/>
          <w:bCs/>
          <w:i w:val="false"/>
          <w:iCs w:val="false"/>
          <w:color w:val="1A1A1A"/>
          <w:sz w:val="21"/>
          <w:szCs w:val="21"/>
        </w:rPr>
        <w:t xml:space="preserve">Zustimmungsfiktion findet nicht statt</w:t>
      </w:r>
      <w:r>
        <w:rPr>
          <w:rFonts w:ascii="Arial" w:cs="Arial" w:eastAsia="Arial" w:hAnsi="Arial"/>
          <w:b w:val="false"/>
          <w:bCs w:val="false"/>
          <w:i w:val="false"/>
          <w:iCs w:val="false"/>
          <w:color w:val="1A1A1A"/>
          <w:sz w:val="21"/>
          <w:szCs w:val="21"/>
        </w:rPr>
        <w:t xml:space="preserve">; die Anpassung wird nach Ablauf der Ankündigungsfrist wirksam, wenn der Kunde nicht von seinem Sonderkündigungsrecht Gebrauch macht.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Erhöht sich der Beitrag um </w:t>
      </w:r>
      <w:r>
        <w:rPr>
          <w:rFonts w:ascii="Arial" w:cs="Arial" w:eastAsia="Arial" w:hAnsi="Arial"/>
          <w:b/>
          <w:bCs/>
          <w:i w:val="false"/>
          <w:iCs w:val="false"/>
          <w:color w:val="1A1A1A"/>
          <w:sz w:val="21"/>
          <w:szCs w:val="21"/>
        </w:rPr>
        <w:t xml:space="preserve">mehr als 5 %</w:t>
      </w:r>
      <w:r>
        <w:rPr>
          <w:rFonts w:ascii="Arial" w:cs="Arial" w:eastAsia="Arial" w:hAnsi="Arial"/>
          <w:b w:val="false"/>
          <w:bCs w:val="false"/>
          <w:i w:val="false"/>
          <w:iCs w:val="false"/>
          <w:color w:val="1A1A1A"/>
          <w:sz w:val="21"/>
          <w:szCs w:val="21"/>
        </w:rPr>
        <w:t xml:space="preserve"> gegenüber dem zuletzt geschuldeten Beitrag,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zum Zeitpunkt des Wirksamwerdens der Erhöhung zu; die Kündigung ist in Textform bis zum Wirksamwerden zu erklären. Macht der Kunde von seinem Sonderkündigungsrecht Gebrauch, gilt bis zum Wirksamwerden der Kündigung der bisherige Preis.</w:t>
      </w:r>
    </w:p>
    <w:p>
      <w:pPr>
        <w:pStyle w:val="Heading2"/>
        <w:keepNext/>
        <w:spacing w:after="80" w:before="160"/>
      </w:pPr>
      <w:r>
        <w:rPr>
          <w:rFonts w:ascii="Arial" w:cs="Arial" w:eastAsia="Arial" w:hAnsi="Arial"/>
          <w:b/>
          <w:bCs/>
          <w:i w:val="false"/>
          <w:iCs w:val="false"/>
          <w:color w:val="0B0B0F"/>
          <w:sz w:val="21"/>
          <w:szCs w:val="21"/>
        </w:rPr>
        <w:t xml:space="preserve">(10)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oder rechtskräftig festgestellten</w:t>
      </w:r>
      <w:r>
        <w:rPr>
          <w:rFonts w:ascii="Arial" w:cs="Arial" w:eastAsia="Arial" w:hAnsi="Arial"/>
          <w:b w:val="false"/>
          <w:bCs w:val="false"/>
          <w:i w:val="false"/>
          <w:iCs w:val="false"/>
          <w:color w:val="1A1A1A"/>
          <w:sz w:val="21"/>
          <w:szCs w:val="21"/>
        </w:rPr>
        <w:t xml:space="preserve"> Gegenforderungen aufrechnen.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Rabatt wird bei vorzeitiger Beendigung nicht anteilig erstattet; eine </w:t>
      </w:r>
      <w:r>
        <w:rPr>
          <w:rFonts w:ascii="Arial" w:cs="Arial" w:eastAsia="Arial" w:hAnsi="Arial"/>
          <w:b/>
          <w:bCs/>
          <w:i w:val="false"/>
          <w:iCs w:val="false"/>
          <w:color w:val="1A1A1A"/>
          <w:sz w:val="21"/>
          <w:szCs w:val="21"/>
        </w:rPr>
        <w:t xml:space="preserve">anteilige Rückerstattung ist ausgeschlossen</w:t>
      </w:r>
      <w:r>
        <w:rPr>
          <w:rFonts w:ascii="Arial" w:cs="Arial" w:eastAsia="Arial" w:hAnsi="Arial"/>
          <w:b w:val="false"/>
          <w:bCs w:val="false"/>
          <w:i w:val="false"/>
          <w:iCs w:val="false"/>
          <w:color w:val="1A1A1A"/>
          <w:sz w:val="21"/>
          <w:szCs w:val="21"/>
        </w:rPr>
        <w:t xml:space="preserve"> (vorbehaltlich § 22).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und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und § 21.</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 (Kardinalpflicht)</w:t>
      </w:r>
      <w:r>
        <w:rPr>
          <w:rFonts w:ascii="Arial" w:cs="Arial" w:eastAsia="Arial" w:hAnsi="Arial"/>
          <w:b w:val="false"/>
          <w:bCs w:val="false"/>
          <w:i w:val="false"/>
          <w:iCs w:val="false"/>
          <w:color w:val="1A1A1A"/>
          <w:sz w:val="21"/>
          <w:szCs w:val="21"/>
        </w:rPr>
        <w:t xml:space="preserve"> — d. h. einer Pflicht, deren Erfüllung die ordnungsgemäße Durchführung des Vertrags überhaupt erst ermöglicht und auf deren Einhaltung der Kunde regelmäßig vertrauen darf. In diesem Fall ist die Haftung auf den </w:t>
      </w:r>
      <w:r>
        <w:rPr>
          <w:rFonts w:ascii="Arial" w:cs="Arial" w:eastAsia="Arial" w:hAnsi="Arial"/>
          <w:b/>
          <w:bCs/>
          <w:i w:val="false"/>
          <w:iCs w:val="false"/>
          <w:color w:val="1A1A1A"/>
          <w:sz w:val="21"/>
          <w:szCs w:val="21"/>
        </w:rPr>
        <w:t xml:space="preserve">vertragstypischen, vorhersehbaren Schaden</w:t>
      </w:r>
      <w:r>
        <w:rPr>
          <w:rFonts w:ascii="Arial" w:cs="Arial" w:eastAsia="Arial" w:hAnsi="Arial"/>
          <w:b w:val="false"/>
          <w:bCs w:val="false"/>
          <w:i w:val="false"/>
          <w:iCs w:val="false"/>
          <w:color w:val="1A1A1A"/>
          <w:sz w:val="21"/>
          <w:szCs w:val="21"/>
        </w:rPr>
        <w:t xml:space="preserve"> begrenzt. Die Haftung ist ferner der Höhe nach begrenzt auf die in den letzten zwölf (12) Monaten vor dem schadensauslösenden Ereignis vom Kunden gezahlte Vergütung, </w:t>
      </w:r>
      <w:r>
        <w:rPr>
          <w:rFonts w:ascii="Arial" w:cs="Arial" w:eastAsia="Arial" w:hAnsi="Arial"/>
          <w:b/>
          <w:bCs/>
          <w:i w:val="false"/>
          <w:iCs w:val="false"/>
          <w:color w:val="1A1A1A"/>
          <w:sz w:val="21"/>
          <w:szCs w:val="21"/>
        </w:rPr>
        <w:t xml:space="preserve">mindestens jedoch "____ EUR"</w:t>
      </w:r>
      <w:r>
        <w:rPr>
          <w:rFonts w:ascii="Arial" w:cs="Arial" w:eastAsia="Arial" w:hAnsi="Arial"/>
          <w:b w:val="false"/>
          <w:bCs w:val="false"/>
          <w:i w:val="false"/>
          <w:iCs w:val="false"/>
          <w:color w:val="1A1A1A"/>
          <w:sz w:val="21"/>
          <w:szCs w:val="21"/>
        </w:rPr>
        <w:t xml:space="preserve"> je Schadensfall, sowie auf ein </w:t>
      </w:r>
      <w:r>
        <w:rPr>
          <w:rFonts w:ascii="Arial" w:cs="Arial" w:eastAsia="Arial" w:hAnsi="Arial"/>
          <w:b/>
          <w:bCs/>
          <w:i w:val="false"/>
          <w:iCs w:val="false"/>
          <w:color w:val="1A1A1A"/>
          <w:sz w:val="21"/>
          <w:szCs w:val="21"/>
        </w:rPr>
        <w:t xml:space="preserve">Jahres-Aggregat von "____ EUR"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Vapi, Twilio, Make, OpenAI, ElevenLabs, Google, Hoster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 Chat-Kontakte), namentlich Kontaktdaten, Gesprächsinhalte, Transkripte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Wo eine Speicherung technisch abschaltbar ist, erfolgt grundsätzlich </w:t>
      </w:r>
      <w:r>
        <w:rPr>
          <w:rFonts w:ascii="Arial" w:cs="Arial" w:eastAsia="Arial" w:hAnsi="Arial"/>
          <w:b/>
          <w:bCs/>
          <w:i w:val="false"/>
          <w:iCs w:val="false"/>
          <w:color w:val="1A1A1A"/>
          <w:sz w:val="21"/>
          <w:szCs w:val="21"/>
        </w:rPr>
        <w:t xml:space="preserve">keine Speicherung</w:t>
      </w:r>
      <w:r>
        <w:rPr>
          <w:rFonts w:ascii="Arial" w:cs="Arial" w:eastAsia="Arial" w:hAnsi="Arial"/>
          <w:b w:val="false"/>
          <w:bCs w:val="false"/>
          <w:i w:val="false"/>
          <w:iCs w:val="false"/>
          <w:color w:val="1A1A1A"/>
          <w:sz w:val="21"/>
          <w:szCs w:val="21"/>
        </w:rPr>
        <w:t xml:space="preserve">. Wo eine Speicherung technisch nicht abschaltbar oder zur Leistungserbringung erforderlich ist, werden die Daten für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aufbewahrt und anschließend gelöscht, soweit keine gesetzliche Aufbewahrungspflicht entgegensteht. Geschäftsdaten werden zusätzlich in den Systemen des Kunden geführt; das </w:t>
      </w:r>
      <w:r>
        <w:rPr>
          <w:rFonts w:ascii="Arial" w:cs="Arial" w:eastAsia="Arial" w:hAnsi="Arial"/>
          <w:b/>
          <w:bCs/>
          <w:i w:val="false"/>
          <w:iCs w:val="false"/>
          <w:color w:val="1A1A1A"/>
          <w:sz w:val="21"/>
          <w:szCs w:val="21"/>
        </w:rPr>
        <w:t xml:space="preserve">Kundensystem ist das führende 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die Pflichten nach Absatz (4), </w:t>
      </w:r>
      <w:r>
        <w:rPr>
          <w:rFonts w:ascii="Arial" w:cs="Arial" w:eastAsia="Arial" w:hAnsi="Arial"/>
          <w:b/>
          <w:bCs/>
          <w:i w:val="false"/>
          <w:iCs w:val="false"/>
          <w:color w:val="1A1A1A"/>
          <w:sz w:val="21"/>
          <w:szCs w:val="21"/>
        </w:rPr>
        <w:t xml:space="preserve">stellt er NexAI von allen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Akquise und Direktwerbung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Setzt der Kunde Agenten zur Akquise oder Direktwerbung ein, ist ausschließlich eine </w:t>
      </w:r>
      <w:r>
        <w:rPr>
          <w:rFonts w:ascii="Arial" w:cs="Arial" w:eastAsia="Arial" w:hAnsi="Arial"/>
          <w:b/>
          <w:bCs/>
          <w:i w:val="false"/>
          <w:iCs w:val="false"/>
          <w:color w:val="1A1A1A"/>
          <w:sz w:val="21"/>
          <w:szCs w:val="21"/>
        </w:rPr>
        <w:t xml:space="preserve">rechtlich zulässige Ansprache</w:t>
      </w:r>
      <w:r>
        <w:rPr>
          <w:rFonts w:ascii="Arial" w:cs="Arial" w:eastAsia="Arial" w:hAnsi="Arial"/>
          <w:b w:val="false"/>
          <w:bCs w:val="false"/>
          <w:i w:val="false"/>
          <w:iCs w:val="false"/>
          <w:color w:val="1A1A1A"/>
          <w:sz w:val="21"/>
          <w:szCs w:val="21"/>
        </w:rPr>
        <w:t xml:space="preserve"> zulässig (insbesondere nach § 7 UWG sowie Art. 6 und Art. 14 DSGVO). Der Kunde sichert zu, dass für die jeweilige Ansprache — soweit möglich — eine tragfähige Rechtsgrundlage besteht.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recherchiert Kontakte teilweise selbst. NexAI unterliegt insoweit strengen Eigen-Compliance-Vorgaben (nur zulässige B2B-Ansprache, Erfüllung der Informationspflichten nach Art. 14 DSGVO, Dokumentation von Opt-outs).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ist berechtigt, die Durchführung von Kampagnen, die erkennbar </w:t>
      </w:r>
      <w:r>
        <w:rPr>
          <w:rFonts w:ascii="Arial" w:cs="Arial" w:eastAsia="Arial" w:hAnsi="Arial"/>
          <w:b/>
          <w:bCs/>
          <w:i w:val="false"/>
          <w:iCs w:val="false"/>
          <w:color w:val="1A1A1A"/>
          <w:sz w:val="21"/>
          <w:szCs w:val="21"/>
        </w:rPr>
        <w:t xml:space="preserve">rechtswidrig</w:t>
      </w:r>
      <w:r>
        <w:rPr>
          <w:rFonts w:ascii="Arial" w:cs="Arial" w:eastAsia="Arial" w:hAnsi="Arial"/>
          <w:b w:val="false"/>
          <w:bCs w:val="false"/>
          <w:i w:val="false"/>
          <w:iCs w:val="false"/>
          <w:color w:val="1A1A1A"/>
          <w:sz w:val="21"/>
          <w:szCs w:val="21"/>
        </w:rPr>
        <w:t xml:space="preserve"> sind oder gegen § 7 UWG bzw. datenschutzrechtliche Vorgaben verstoßen, ganz oder teilweise </w:t>
      </w:r>
      <w:r>
        <w:rPr>
          <w:rFonts w:ascii="Arial" w:cs="Arial" w:eastAsia="Arial" w:hAnsi="Arial"/>
          <w:b/>
          <w:bCs/>
          <w:i w:val="false"/>
          <w:iCs w:val="false"/>
          <w:color w:val="1A1A1A"/>
          <w:sz w:val="21"/>
          <w:szCs w:val="21"/>
        </w:rPr>
        <w:t xml:space="preserve">abzulehnen</w:t>
      </w:r>
      <w:r>
        <w:rPr>
          <w:rFonts w:ascii="Arial" w:cs="Arial" w:eastAsia="Arial" w:hAnsi="Arial"/>
          <w:b w:val="false"/>
          <w:bCs w:val="false"/>
          <w:i w:val="false"/>
          <w:iCs w:val="false"/>
          <w:color w:val="1A1A1A"/>
          <w:sz w:val="21"/>
          <w:szCs w:val="21"/>
        </w:rPr>
        <w:t xml:space="preserve"> oder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Widersprüche und Opt-outs von angesprochenen Kontakten werden dokumentiert und beachtet; der Kunde stellt die Fortführung der Opt-out-Dokumentation in seinen Systemen sicher.</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einschließlich angemessener Kosten der Rechtsverteidigung.</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Vapi, Twilio, Make, OpenAI, ElevenLabs, Google, Hoster).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Störungen, Ausfälle oder Leistungsänderungen von Drittdiensten haftet NexAI </w:t>
      </w:r>
      <w:r>
        <w:rPr>
          <w:rFonts w:ascii="Arial" w:cs="Arial" w:eastAsia="Arial" w:hAnsi="Arial"/>
          <w:b/>
          <w:bCs/>
          <w:i w:val="false"/>
          <w:iCs w:val="false"/>
          <w:color w:val="1A1A1A"/>
          <w:sz w:val="21"/>
          <w:szCs w:val="21"/>
        </w:rPr>
        <w:t xml:space="preserve">nicht pauschal</w:t>
      </w:r>
      <w:r>
        <w:rPr>
          <w:rFonts w:ascii="Arial" w:cs="Arial" w:eastAsia="Arial" w:hAnsi="Arial"/>
          <w:b w:val="false"/>
          <w:bCs w:val="false"/>
          <w:i w:val="false"/>
          <w:iCs w:val="false"/>
          <w:color w:val="1A1A1A"/>
          <w:sz w:val="21"/>
          <w:szCs w:val="21"/>
        </w:rPr>
        <w:t xml:space="preserve">, sondern nur nach Maßgabe von § 12 und nur, soweit sie ein eigenes Verschulden trifft (</w:t>
      </w:r>
      <w:r>
        <w:rPr>
          <w:rFonts w:ascii="Arial" w:cs="Arial" w:eastAsia="Arial" w:hAnsi="Arial"/>
          <w:b/>
          <w:bCs/>
          <w:i w:val="false"/>
          <w:iCs w:val="false"/>
          <w:color w:val="1A1A1A"/>
          <w:sz w:val="21"/>
          <w:szCs w:val="21"/>
        </w:rPr>
        <w:t xml:space="preserve">Verschuldens-Carve-out</w:t>
      </w:r>
      <w:r>
        <w:rPr>
          <w:rFonts w:ascii="Arial" w:cs="Arial" w:eastAsia="Arial" w:hAnsi="Arial"/>
          <w:b w:val="false"/>
          <w:bCs w:val="false"/>
          <w:i w:val="false"/>
          <w:iCs w:val="false"/>
          <w:color w:val="1A1A1A"/>
          <w:sz w:val="21"/>
          <w:szCs w:val="21"/>
        </w:rPr>
        <w:t xml:space="preserve">); ein genereller Haftungsausschluss für Drittdienste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Ergebnisdaten für einen Zeitraum von </w:t>
      </w:r>
      <w:r>
        <w:rPr>
          <w:rFonts w:ascii="Arial" w:cs="Arial" w:eastAsia="Arial" w:hAnsi="Arial"/>
          <w:b/>
          <w:bCs/>
          <w:i w:val="false"/>
          <w:iCs w:val="false"/>
          <w:color w:val="1A1A1A"/>
          <w:sz w:val="21"/>
          <w:szCs w:val="21"/>
        </w:rPr>
        <w:t xml:space="preserve">dreißig (30) Tagen zum Export</w:t>
      </w:r>
      <w:r>
        <w:rPr>
          <w:rFonts w:ascii="Arial" w:cs="Arial" w:eastAsia="Arial" w:hAnsi="Arial"/>
          <w:b w:val="false"/>
          <w:bCs w:val="false"/>
          <w:i w:val="false"/>
          <w:iCs w:val="false"/>
          <w:color w:val="1A1A1A"/>
          <w:sz w:val="21"/>
          <w:szCs w:val="21"/>
        </w:rPr>
        <w:t xml:space="preserve">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zur Verfügung. Nach Ablauf dieser Frist werden die Daten gelöscht, soweit keine gesetzliche Aufbewahrungspflicht entgegensteht; NexAI erteilt auf Verlangen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Im Jahresmodell besteht bei ordentlicher Beendigung kein Anspruch auf anteilige Rückerstattung (§ 8 Abs. 2). § 22 (Höhere Gewalt) bleibt unberührt.</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w:t>
      </w:r>
      <w:r>
        <w:rPr>
          <w:rFonts w:ascii="Arial" w:cs="Arial" w:eastAsia="Arial" w:hAnsi="Arial"/>
          <w:b/>
          <w:bCs/>
          <w:i w:val="false"/>
          <w:iCs w:val="false"/>
          <w:color w:val="1A1A1A"/>
          <w:sz w:val="21"/>
          <w:szCs w:val="21"/>
        </w:rPr>
        <w:t xml:space="preserve">höherer Gewalt</w:t>
      </w:r>
      <w:r>
        <w:rPr>
          <w:rFonts w:ascii="Arial" w:cs="Arial" w:eastAsia="Arial" w:hAnsi="Arial"/>
          <w:b w:val="false"/>
          <w:bCs w:val="false"/>
          <w:i w:val="false"/>
          <w:iCs w:val="false"/>
          <w:color w:val="1A1A1A"/>
          <w:sz w:val="21"/>
          <w:szCs w:val="21"/>
        </w:rPr>
        <w:t xml:space="preserve"> beruht. Als höhere Gewalt gelten unvorhersehbare, außerhalb des zumutbaren Einflussbereichs liegende Ereignisse, insbesondere </w:t>
      </w:r>
      <w:r>
        <w:rPr>
          <w:rFonts w:ascii="Arial" w:cs="Arial" w:eastAsia="Arial" w:hAnsi="Arial"/>
          <w:b/>
          <w:bCs/>
          <w:i w:val="false"/>
          <w:iCs w:val="false"/>
          <w:color w:val="1A1A1A"/>
          <w:sz w:val="21"/>
          <w:szCs w:val="21"/>
        </w:rPr>
        <w:t xml:space="preserve">Cyberangriffe, Ausfall oder Insolvenz von Providern/Drittdiensten, behördliche Sperren oder Anordnungen sowie Netz-, Strom- und Telekommunikationsausfälle</w:t>
      </w:r>
      <w:r>
        <w:rPr>
          <w:rFonts w:ascii="Arial" w:cs="Arial" w:eastAsia="Arial" w:hAnsi="Arial"/>
          <w:b w:val="false"/>
          <w:bCs w:val="false"/>
          <w:i w:val="false"/>
          <w:iCs w:val="false"/>
          <w:color w:val="1A1A1A"/>
          <w:sz w:val="21"/>
          <w:szCs w:val="21"/>
        </w:rPr>
        <w:t xml:space="preserve">, ferner Naturereignisse, Pandemien, Streik und Krieg.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NexAI schuldet keine bestimmte Verfügbarkeit im Sinne einer Garantie, sondern ein fachgerechtes Bemühen um einen möglichst störungsfreien Betrieb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Verfügbarkeitsziele, Wartungsfenster und Reaktionszeiten ergeben sich, soweit vereinbart, aus Anlage C (SLA).</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dieses Vertrags ganz oder teilweise unwirksam oder undurchführbar sein oder werden, so bleibt die Wirksamkeit der übrigen Bestimmungen unberührt. Die Parteien werden eine unwirksame oder undurchführbare Bestimmung durch eine wirksame ersetzen, die dem wirtschaftlich Gewollten am nächsten kommt; entsprechendes gilt für Regelungslücken. Eine Umdeutung in eine bloße Geltung dispositiven Rechts findet insoweit nicht statt.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Ausschließlicher Gerichtsstand für alle Streitigkeiten aus und im Zusammenhang mit diesem Vertrag ist, soweit der Kunde Kaufmann, juristische Person des öffentlichen Rechts oder öffentlich-rechtliches Sondervermögen ist,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ist ein sorgfältig erstellter Entwurf. Er ersetzt keine Rechtsberatung und sollte vor Verwendung im Einzelfall anwaltlich geprüft und an die konkreten Umstände angepasst werden.</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Individualabrede zum Rahmenvertrag über KI-Agenten und digitale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und stellt eine </w:t>
      </w:r>
      <w:r>
        <w:rPr>
          <w:rFonts w:ascii="Arial" w:cs="Arial" w:eastAsia="Arial" w:hAnsi="Arial"/>
          <w:b/>
          <w:bCs/>
          <w:i w:val="false"/>
          <w:iCs w:val="false"/>
          <w:color w:val="1A1A1A"/>
          <w:sz w:val="21"/>
          <w:szCs w:val="21"/>
        </w:rPr>
        <w:t xml:space="preserve">Individualabrede</w:t>
      </w:r>
      <w:r>
        <w:rPr>
          <w:rFonts w:ascii="Arial" w:cs="Arial" w:eastAsia="Arial" w:hAnsi="Arial"/>
          <w:b w:val="false"/>
          <w:bCs w:val="false"/>
          <w:i w:val="false"/>
          <w:iCs w:val="false"/>
          <w:color w:val="1A1A1A"/>
          <w:sz w:val="21"/>
          <w:szCs w:val="21"/>
        </w:rPr>
        <w:t xml:space="preserve"> dar. Bei Widersprüchen zwischen diesem Leistungsschein, dem Rahmenvertrag, den Anlagen und den AGB (B2B) gilt die im Rahmenvertrag festgelegte Rangfolge. Die in diesem Leistungsschein getroffenen individuellen Vereinbarungen gehen den AGB (B2B) als Individualabrede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die Bereitstellung und den Betrieb von KI-Agenten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und D (Abnahmeprotokoll)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 und/oder ausgehende Gespräche)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(KI-gestützte Betreuung von Social-Media-Kanälen)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Vertriebs-/Akquise-Agent</w:t>
      </w:r>
      <w:r>
        <w:rPr>
          <w:rFonts w:ascii="Arial" w:cs="Arial" w:eastAsia="Arial" w:hAnsi="Arial"/>
          <w:b w:val="false"/>
          <w:bCs w:val="false"/>
          <w:i w:val="false"/>
          <w:iCs w:val="false"/>
          <w:color w:val="1A1A1A"/>
          <w:sz w:val="21"/>
          <w:szCs w:val="21"/>
        </w:rPr>
        <w:t xml:space="preserve"> (KI-gestützte B2B-Kontaktansprache)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Website-Erstellung</w:t>
      </w:r>
      <w:r>
        <w:rPr>
          <w:rFonts w:ascii="Arial" w:cs="Arial" w:eastAsia="Arial" w:hAnsi="Arial"/>
          <w:b w:val="false"/>
          <w:bCs w:val="false"/>
          <w:i w:val="false"/>
          <w:iCs w:val="false"/>
          <w:color w:val="1A1A1A"/>
          <w:sz w:val="21"/>
          <w:szCs w:val="21"/>
        </w:rPr>
        <w:t xml:space="preserve"> (Erstellung/Bereitstellung einer Website als Werkleistung;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Betriebsleistungen dem Dienstvertragsrecht. Für den Vertriebs-/Akquise-Agenten gelten die besonderen Compliance-Zusicherungen des Kunden nach dem Rahmenvertrag (zulässige B2B-Ansprache, Informationspflichten nach Art. 14 DSGVO, Opt-out-Dokumentation).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ist der verbindliche Einsatzzweck festzulegen. Der Kunde bestätigt für jeden Agenten,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Agenten ausschließlich für die angegebenen Zwecke eingesetzt werden. NexAI ist für die Bereitstellung und den Betrieb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als bestimmungsgemäßer Einsetzender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die Betreiberpflichten (u. a. zweckkonforme Verwendung, menschliche Aufsicht) obliegen dem Kunden.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der Agenten wird </w:t>
      </w:r>
      <w:r>
        <w:rPr>
          <w:rFonts w:ascii="Arial" w:cs="Arial" w:eastAsia="Arial" w:hAnsi="Arial"/>
          <w:b/>
          <w:bCs/>
          <w:i w:val="false"/>
          <w:iCs w:val="false"/>
          <w:color w:val="1A1A1A"/>
          <w:sz w:val="21"/>
          <w:szCs w:val="21"/>
        </w:rPr>
        <w:t xml:space="preserve">keine Einrichtungs- oder Setup-Gebühr</w:t>
      </w:r>
      <w:r>
        <w:rPr>
          <w:rFonts w:ascii="Arial" w:cs="Arial" w:eastAsia="Arial" w:hAnsi="Arial"/>
          <w:b w:val="false"/>
          <w:bCs w:val="false"/>
          <w:i w:val="false"/>
          <w:iCs w:val="false"/>
          <w:color w:val="1A1A1A"/>
          <w:sz w:val="21"/>
          <w:szCs w:val="21"/>
        </w:rPr>
        <w:t xml:space="preserve"> erhoben. Für Betriebsleistungen fällt ausschließlich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Website-Erstellung) werden, soweit beauftragt, gesondert und einmalig vergütet.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Bis zur Erteilung der USt-IdNr. wird die Steuernummer auf der Rechnung ausgewiesen.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keine anteilige Rückerstattung (der gewährte Rabatt ist Gegenleistung für die Bindung);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verbindlichen Preise, Bestellungen oder Vertragsabschlüsse).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w:t>
      </w:r>
    </w:p>
    <w:p>
      <w:pPr>
        <w:spacing w:after="120" w:line="276"/>
        <w:jc w:val="both"/>
      </w:pPr>
      <w:r>
        <w:rPr>
          <w:rFonts w:ascii="Arial" w:cs="Arial" w:eastAsia="Arial" w:hAnsi="Arial"/>
          <w:b/>
          <w:bCs/>
          <w:i w:val="false"/>
          <w:iCs w:val="false"/>
          <w:color w:val="1A1A1A"/>
          <w:sz w:val="21"/>
          <w:szCs w:val="21"/>
        </w:rPr>
        <w:t xml:space="preserve">Aufzeichnung/Transkription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und wird nur auf dokumentierte Weisung des Kunden aktiviert. Bei aktivierter Aufzeichnung erfolgt zusätzlich zur KI-Ansage ein Aufzeichnungshinweis. Der Kunde ist für das Vorliegen einer tragfähigen Rechtsgrundlage der Aufzeichnung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Optionale Rückfallnummer (Fallback bei Nichterreichbarkeit des Agenten):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Leistungsschein ist ein sorgfältig erstellter Entwurf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bereit und betreibt diese.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Website-Erstellung (Ziffer 9)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Es gilt Dienstvertragsrecht; die Verfügbarkeit richtet sich nach Anlage C (SLA).</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9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und/oder tätigt ausgehende Anrufe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sowie – bei entsprechender Beauftragung – Tätigung ausgehender Anrufe im Rahmen zulässiger Kampagnen (vgl. Ziffer 6 und die dortigen Compliance-Hinweise)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 eingehend wie ausgehend – erfolgt die verpflichtende KI-Ansage nach Ziffer 11. Aufzeichnung und Transkription sind standardmäßig deaktiviert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Social-Media-Agent</w:t>
      </w:r>
    </w:p>
    <w:p>
      <w:pPr>
        <w:spacing w:after="120" w:line="276"/>
        <w:jc w:val="both"/>
      </w:pPr>
      <w:r>
        <w:rPr>
          <w:rFonts w:ascii="Arial" w:cs="Arial" w:eastAsia="Arial" w:hAnsi="Arial"/>
          <w:b w:val="false"/>
          <w:bCs w:val="false"/>
          <w:i w:val="false"/>
          <w:iCs w:val="false"/>
          <w:color w:val="1A1A1A"/>
          <w:sz w:val="21"/>
          <w:szCs w:val="21"/>
        </w:rPr>
        <w:t xml:space="preserve">Der Social-Media-Agent unterstützt den Kunden bei der Betreuung seiner Social-Media-Kanäle im Rahmen der beauftragten Plattformen und der vom Kunden erteilten Freigaben.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Bearbeitung eingehender Direktnachrichten und Kommentare auf den vereinbarten Plattformen im Rahmen der konfigurierten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Erkennen von Interessenten und kaufbezogenen Anliegen sowie deren Übergabe zur weiteren Bearbeitung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und inhaltliche Vorbereitung von Beiträgen (Entwürfe) zur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Unterstützung im Community-Management (z. B. Standardantworten, Moderationshinweise) im Rahmen der vereinbarten Vorgaben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Strukturierte Übergabe qualifizierter Kontakte an das vom Kunden benannte Zielsystem</w:t>
      </w:r>
    </w:p>
    <w:p>
      <w:pPr>
        <w:spacing w:after="140" w:before="80"/>
      </w:pPr>
      <w:r>
        <w:rPr>
          <w:rFonts w:ascii="Arial" w:cs="Arial" w:eastAsia="Arial" w:hAnsi="Arial"/>
          <w:b w:val="false"/>
          <w:bCs w:val="false"/>
          <w:i/>
          <w:iCs/>
          <w:color w:val="6B7280"/>
          <w:sz w:val="18"/>
          <w:szCs w:val="18"/>
        </w:rPr>
        <w:t xml:space="preserve">Die redaktionelle Endverantwortung, die Veröffentlichungsfreigabe sowie die Einhaltung der jeweiligen Plattform-Nutzungsbedingungen verbleiben beim Kunden. Die inhaltliche Redaktion und Content-Strategie sind nicht geschuldet, soweit nicht ausdrücklich vereinbart (Ziffer 14).</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Vertriebs-/Akquise-Agent</w:t>
      </w:r>
    </w:p>
    <w:p>
      <w:pPr>
        <w:spacing w:after="120" w:line="276"/>
        <w:jc w:val="both"/>
      </w:pPr>
      <w:r>
        <w:rPr>
          <w:rFonts w:ascii="Arial" w:cs="Arial" w:eastAsia="Arial" w:hAnsi="Arial"/>
          <w:b w:val="false"/>
          <w:bCs w:val="false"/>
          <w:i w:val="false"/>
          <w:iCs w:val="false"/>
          <w:color w:val="1A1A1A"/>
          <w:sz w:val="21"/>
          <w:szCs w:val="21"/>
        </w:rPr>
        <w:t xml:space="preserve">Der Vertriebs-/Akquise-Agent unterstützt den Kunden bei der Anbahnung von Geschäftskontakten im B2B-Bereich.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Identifikation potenziell passender Unternehmen anhand der mit dem Kunden vereinbarten Zielkriterien (Branche, Größe, Region u. a.)</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öffentlich zugänglicher Informationen zu Unternehmen und geeigneten Ansprechpartnern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Bewertung der Passung (Fit-Scoring) anhand vereinbarter Kriterien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personalisierter Ansprache-Entwürfe (E-Mails, Gesprächsleitfäden) zur Verwendung durch den Kunden bzw. – bei entsprechender Beauftragung – zum automatisierten Versand im Namen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Aufbereitung und Übergabe der Rechercheergebnisse an das vom Kunden benannte Zielsystem</w:t>
      </w:r>
    </w:p>
    <w:p>
      <w:pPr>
        <w:pStyle w:val="Heading2"/>
        <w:keepNext/>
        <w:spacing w:after="80" w:before="160"/>
      </w:pPr>
      <w:r>
        <w:rPr>
          <w:rFonts w:ascii="Arial" w:cs="Arial" w:eastAsia="Arial" w:hAnsi="Arial"/>
          <w:b/>
          <w:bCs/>
          <w:i w:val="false"/>
          <w:iCs w:val="false"/>
          <w:color w:val="0B0B0F"/>
          <w:sz w:val="21"/>
          <w:szCs w:val="21"/>
        </w:rPr>
        <w:t xml:space="preserve">Compliance-Hinweise zur Akquise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Werbeansprache erfolgt ausschließlich im rechtlich zulässigen Rahmen. Für </w:t>
      </w:r>
      <w:r>
        <w:rPr>
          <w:rFonts w:ascii="Arial" w:cs="Arial" w:eastAsia="Arial" w:hAnsi="Arial"/>
          <w:b/>
          <w:bCs/>
          <w:i w:val="false"/>
          <w:iCs w:val="false"/>
          <w:color w:val="1A1A1A"/>
          <w:sz w:val="21"/>
          <w:szCs w:val="21"/>
        </w:rPr>
        <w:t xml:space="preserve">E-Mail-Werbung</w:t>
      </w:r>
      <w:r>
        <w:rPr>
          <w:rFonts w:ascii="Arial" w:cs="Arial" w:eastAsia="Arial" w:hAnsi="Arial"/>
          <w:b w:val="false"/>
          <w:bCs w:val="false"/>
          <w:i w:val="false"/>
          <w:iCs w:val="false"/>
          <w:color w:val="1A1A1A"/>
          <w:sz w:val="21"/>
          <w:szCs w:val="21"/>
        </w:rPr>
        <w:t xml:space="preserve"> ohne vorherige ausdrückliche Einwilligung ist § 7 UWG zu beachten; eine Ansprache kommt danach nur unter den engen Voraussetzungen einer mutmaßlichen Einwilligung bzw. der Ausnahme für Bestandskunden in Betracht. </w:t>
      </w:r>
      <w:r>
        <w:rPr>
          <w:rFonts w:ascii="Arial" w:cs="Arial" w:eastAsia="Arial" w:hAnsi="Arial"/>
          <w:b/>
          <w:bCs/>
          <w:i w:val="false"/>
          <w:iCs w:val="false"/>
          <w:color w:val="1A1A1A"/>
          <w:sz w:val="21"/>
          <w:szCs w:val="21"/>
        </w:rPr>
        <w:t xml:space="preserve">Telefonwerbung</w:t>
      </w:r>
      <w:r>
        <w:rPr>
          <w:rFonts w:ascii="Arial" w:cs="Arial" w:eastAsia="Arial" w:hAnsi="Arial"/>
          <w:b w:val="false"/>
          <w:bCs w:val="false"/>
          <w:i w:val="false"/>
          <w:iCs w:val="false"/>
          <w:color w:val="1A1A1A"/>
          <w:sz w:val="21"/>
          <w:szCs w:val="21"/>
        </w:rPr>
        <w:t xml:space="preserve"> gegenüber sonstigen Marktteilnehmern setzt zumindest deren mutmaßliche Einwilligung voraus.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Recherchiert NexAI Kontaktdaten selbst aus Drittquellen, erfüllt NexAI – soweit NexAI die Ansprache im Auftrag des Kunden durchführt – die Informationspflicht nach </w:t>
      </w:r>
      <w:r>
        <w:rPr>
          <w:rFonts w:ascii="Arial" w:cs="Arial" w:eastAsia="Arial" w:hAnsi="Arial"/>
          <w:b/>
          <w:bCs/>
          <w:i w:val="false"/>
          <w:iCs w:val="false"/>
          <w:color w:val="1A1A1A"/>
          <w:sz w:val="21"/>
          <w:szCs w:val="21"/>
        </w:rPr>
        <w:t xml:space="preserve">Art. 14 DSGVO</w:t>
      </w:r>
      <w:r>
        <w:rPr>
          <w:rFonts w:ascii="Arial" w:cs="Arial" w:eastAsia="Arial" w:hAnsi="Arial"/>
          <w:b w:val="false"/>
          <w:bCs w:val="false"/>
          <w:i w:val="false"/>
          <w:iCs w:val="false"/>
          <w:color w:val="1A1A1A"/>
          <w:sz w:val="21"/>
          <w:szCs w:val="21"/>
        </w:rPr>
        <w:t xml:space="preserve"> gegenüber den betroffenen Personen und dokumentiert die zulässige Herkunft der Daten.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Ansprache enthält eine unmittelbare und einfache </w:t>
      </w:r>
      <w:r>
        <w:rPr>
          <w:rFonts w:ascii="Arial" w:cs="Arial" w:eastAsia="Arial" w:hAnsi="Arial"/>
          <w:b/>
          <w:bCs/>
          <w:i w:val="false"/>
          <w:iCs w:val="false"/>
          <w:color w:val="1A1A1A"/>
          <w:sz w:val="21"/>
          <w:szCs w:val="21"/>
        </w:rPr>
        <w:t xml:space="preserve">Widerspruchs-/Opt-out-Möglichkeit</w:t>
      </w:r>
      <w:r>
        <w:rPr>
          <w:rFonts w:ascii="Arial" w:cs="Arial" w:eastAsia="Arial" w:hAnsi="Arial"/>
          <w:b w:val="false"/>
          <w:bCs w:val="false"/>
          <w:i w:val="false"/>
          <w:iCs w:val="false"/>
          <w:color w:val="1A1A1A"/>
          <w:sz w:val="21"/>
          <w:szCs w:val="21"/>
        </w:rPr>
        <w:t xml:space="preserve">. Widersprüche werden dokumentiert und beachtet; angesprochene Kontakte werden bei Widerspruch für weitere Kampagnen gesperrt.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berechtigt, die Durchführung von Kampagnen abzulehnen, auszusetzen oder zu beenden, die nach vertretbarer Einschätzung von NexAI gegen geltendes Recht (insbesondere UWG oder DSGVO) verstoßen würden. Die weitergehenden Zusicherungen und Mitwirkungspflichten des Kunden – insbesondere zur Zulässigkeit der Zielkriterien und der Ansprache – ergeben sich aus dem Rahmenvertrag und den AGB (B2B).</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Website-Erstellung (Projektleistung)</w:t>
      </w:r>
    </w:p>
    <w:p>
      <w:pPr>
        <w:spacing w:after="120" w:line="276"/>
        <w:jc w:val="both"/>
      </w:pPr>
      <w:r>
        <w:rPr>
          <w:rFonts w:ascii="Arial" w:cs="Arial" w:eastAsia="Arial" w:hAnsi="Arial"/>
          <w:b w:val="false"/>
          <w:bCs w:val="false"/>
          <w:i w:val="false"/>
          <w:iCs w:val="false"/>
          <w:color w:val="1A1A1A"/>
          <w:sz w:val="21"/>
          <w:szCs w:val="21"/>
        </w:rPr>
        <w:t xml:space="preserve">Die Website-Erstellung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Konzeption und Umsetzung einer modernen, responsiven und performanten Website nach den im Auftragsformular festgelegten Vorgaben (Seitenumfang, Struktur,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Umsetzung technischer SEO-Grundlagen (u. a. saubere Seitenstruktur, Meta-Angaben, Ladezeitoptimierung, mobile Optimierung)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Landingpages im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der beauftragten Agenten (z. B. Voice- oder Chat-Agent) an die Website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Übergabe/Bereitstellung der fertiggestellten Website nach Maßgabe des Auftragsformulars</w:t>
      </w:r>
    </w:p>
    <w:p>
      <w:pPr>
        <w:spacing w:after="140" w:before="80"/>
      </w:pPr>
      <w:r>
        <w:rPr>
          <w:rFonts w:ascii="Arial" w:cs="Arial" w:eastAsia="Arial" w:hAnsi="Arial"/>
          <w:b w:val="false"/>
          <w:bCs w:val="false"/>
          <w:i/>
          <w:iCs/>
          <w:color w:val="6B7280"/>
          <w:sz w:val="18"/>
          <w:szCs w:val="18"/>
        </w:rPr>
        <w:t xml:space="preserve">Die Abnahme erfolgt nach Anlage D (Abnahmeprotokoll). Inhalte (Texte, Bilder, Logos), die Rechte an Dritt-Inhalten sowie erforderliche Zugänge stellt der Kunde bereit, soweit nicht ausdrücklich anders vereinbart. Laufende SEO-Betreuung, redaktionelle Pflege und das Hosting fremder Systeme sind nicht geschuldet (Ziffer 14).</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Für die Ersteinrichtung wird </w:t>
      </w:r>
      <w:r>
        <w:rPr>
          <w:rFonts w:ascii="Arial" w:cs="Arial" w:eastAsia="Arial" w:hAnsi="Arial"/>
          <w:b/>
          <w:bCs/>
          <w:i w:val="false"/>
          <w:iCs w:val="false"/>
          <w:color w:val="1A1A1A"/>
          <w:sz w:val="21"/>
          <w:szCs w:val="21"/>
        </w:rPr>
        <w:t xml:space="preserve">keine gesonderte Einrichtungs- oder Setup-Gebühr</w:t>
      </w:r>
      <w:r>
        <w:rPr>
          <w:rFonts w:ascii="Arial" w:cs="Arial" w:eastAsia="Arial" w:hAnsi="Arial"/>
          <w:b w:val="false"/>
          <w:bCs w:val="false"/>
          <w:i w:val="false"/>
          <w:iCs w:val="false"/>
          <w:color w:val="1A1A1A"/>
          <w:sz w:val="21"/>
          <w:szCs w:val="21"/>
        </w:rPr>
        <w:t xml:space="preserve"> erhoben; sie ist mit dem vereinbarten monatlichen oder jährlichen Beitrag abgegolten, soweit im Auftragsformular nicht ausdrücklich anders bestimmt.</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und beim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Eine Aktivierung erfolgt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Aufzeichnung/Transkription aktiviert, erfolgt stets der Aufzeichnungshinweis nach Ziffer 11 Absatz (3). Die Aufbewahrung der Aufzeichnungen und Transkripte beträgt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ab Erstellung; danach werden sie gelöscht, soweit keine gesetzliche Aufbewahrungspflicht entgegensteht.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Transkripte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weiteren Regelungen zur Datenspeicherung – keine Speicherung, soweit technisch abschaltbar; Aufbewahrung von sechs Monaten, soweit nicht abschaltbar; führendes Kundensystem für Geschäftsdaten; 30-tägiger Export vor Löschung bei Vertragsende nebst Löschbestätigung – ergeben sich aus dem Rahmenvertrag und Anlage B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Laufende SEO-Betreuung und Suchmaschinen-Optimierung über die technischen SEO-Grundlagen der Website-Erstellung (Ziffer 9) hinaus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Redaktionelle Content-Erstellung und Social-Media-Redaktion (Redaktionsplan, Texterstellung, Bildredaktion) über die in Ziffer 5 beschriebene Vorbereitung hinaus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Es handelt sich um einen sorgfältig erstellten Entwurf, der für den konkreten Einzelfall anwaltlich geprüft werden sollte.</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August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Social-Media-Agent, Vertriebs-/Akquise-Agent, Automatisierungen, individuelle KI-Agenten – nachfolgend "Agenten") sowie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Für die abweichende oder ergänzende Rollenverteilung bei einzelnen Leistungsarten – insbesondere bei der Vertriebs-/Akquise-Leistung – gilt die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 a. Sprachdialog, Chatdialog, Terminvereinbarung, Weiterleitung, Automatisierungen, Kontaktaufnahme).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für den Kunden, insbesondere die Beantwortung von Anfragen von Endnutzern, die Vereinbarung und Verwaltung von Terminen, die Weiterleitung von Anliegen sowie – nach Maßgabe der jeweiligen Beauftragung – die Kontaktaufnahme mit vom Kunden bestimmten Zielgruppen.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interagieren, insbesondere Anrufer (Voice Agent), Chat-Kontakte (Chat Agent), über Social-Media-Kanäle kommunizierende Personen sowie im Rahmen der Vertriebs-/Akquise-Leistung angesprochene Kontakte;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und Soniox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Agent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(Inbound)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Social-Media-Agent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Vertriebs-/Akquise-Agent – NexAI recherchiert Kontakte selbst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Auftragsverarbeitung; im Einzelfall gemeinsame Verantwortlichkeit (Art. 26) oder getrennte Verantwortlichkeit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bzw. Art. 26 DSGVO – Festlegung im Auftragsformular</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Vertriebs-/Akquise-Leistung, bei der NexAI Kontaktdaten teilweise selbst recherchiert, legen die Parteien die konkrete Rolle im Auftragsformular fest. Wird eine </w:t>
      </w:r>
      <w:r>
        <w:rPr>
          <w:rFonts w:ascii="Arial" w:cs="Arial" w:eastAsia="Arial" w:hAnsi="Arial"/>
          <w:b/>
          <w:bCs/>
          <w:i w:val="false"/>
          <w:iCs w:val="false"/>
          <w:color w:val="1A1A1A"/>
          <w:sz w:val="21"/>
          <w:szCs w:val="21"/>
        </w:rPr>
        <w:t xml:space="preserve">gemeinsame Verantwortlichkeit</w:t>
      </w:r>
      <w:r>
        <w:rPr>
          <w:rFonts w:ascii="Arial" w:cs="Arial" w:eastAsia="Arial" w:hAnsi="Arial"/>
          <w:b w:val="false"/>
          <w:bCs w:val="false"/>
          <w:i w:val="false"/>
          <w:iCs w:val="false"/>
          <w:color w:val="1A1A1A"/>
          <w:sz w:val="21"/>
          <w:szCs w:val="21"/>
        </w:rPr>
        <w:t xml:space="preserve"> begründet, schließen die Parteien eine gesonderte Vereinbarung nach Art. 26 DSGVO, die die jeweiligen Pflichten – insbesondere zur Information nach Art. 14 DSGVO und zur Wahrnehmung von Betroffenenrechten – festlegt.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unterhält für die selbst durchgeführte Kontaktrecherche eine eigene Compliance (nur zulässige B2B-Ansprache, Erfüllung der Informationspflichten nach Art. 14 DSGVO, Dokumentation von Widersprüchen/Opt-outs) und ist berechtigt, rechtswidrige Kampagnenvorgaben abzulehnen. Der Kunde sichert die Rechtmäßigkeit der von ihm vorgegebenen Zielgruppen und Ansprachen zu.</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 Sprachsynthese)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 als Unterauftragsverarbeiter von Vapi eingesetzt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(über Vapi-DPA)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Hosting/Betrieb der von NexAI selbst betriebenen Automatisierungs- und Speicherinstanz (n8n)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Agent: Kontakt-, Vorgangs-, Termin-,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und ausschließlich für Betriebsleistungen im Sinne des Dienstvertragsrechts; für Projektleistungen (einmalige Werkleistungen) gilt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(durch Zahlungsverzug oder aus anderem Grund berechtigt) ausgesetztes Vertragsverhältnis sowie die vollständige Erfüllung der fälligen Zahlungspflichten des Kunden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08:00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(08:00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kompletter Ausfall aller Agenten.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8 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als Bemühensschuld. Eine bestimmte </w:t>
      </w:r>
      <w:r>
        <w:rPr>
          <w:rFonts w:ascii="Arial" w:cs="Arial" w:eastAsia="Arial" w:hAnsi="Arial"/>
          <w:b/>
          <w:bCs/>
          <w:i w:val="false"/>
          <w:iCs w:val="false"/>
          <w:color w:val="1A1A1A"/>
          <w:sz w:val="21"/>
          <w:szCs w:val="21"/>
        </w:rPr>
        <w:t xml:space="preserve">Wiederherstellungs-, Lösungs- oder Behebungszeit wird ausdrücklich nicht garantiert.</w:t>
      </w:r>
      <w:r>
        <w:rPr>
          <w:rFonts w:ascii="Arial" w:cs="Arial" w:eastAsia="Arial" w:hAnsi="Arial"/>
          <w:b w:val="false"/>
          <w:bCs w:val="false"/>
          <w:i w:val="false"/>
          <w:iCs w:val="false"/>
          <w:color w:val="1A1A1A"/>
          <w:sz w:val="21"/>
          <w:szCs w:val="21"/>
        </w:rPr>
        <w:t xml:space="preserve"> NexAI wird sich bemühen, gemeldete Störungen mit der nach den Umständen gebotenen Sorgfalt und in einer der Priorität angemessenen Weise zu bearbeiten und zu beheben.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Ursachen, die außerhalb des Einflussbereichs von NexAI liegen – insbesondere Störungen, Ausfälle, Wartungen oder Änderungen bei Subunternehmern und Drittdiensten (z. B. Vapi, Twilio, Make, OpenAI, ElevenLabs, Google, Hoster) sowie Ereignisse höherer Gewalt – hemmen den Lauf der Reaktionszeiten für die Dauer ihres Bestehens. NexAI wird den Kunden über solche Umstände, sobald erkannt, unterrichten.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im Rahmen der Bemühensschuld, die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Dritter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Angekündigte planbare Wartungsfenster sowie kurzzeitige, wartungsbedingte Unterbrechungen oder Beeinträchtigungen gelten nicht als Nichtverfügbarkeit im Sinne von Abschnitt 7 und stellen keine Pflichtverletzung dar.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w:t>
      </w:r>
      <w:r>
        <w:rPr>
          <w:rFonts w:ascii="Arial" w:cs="Arial" w:eastAsia="Arial" w:hAnsi="Arial"/>
          <w:b/>
          <w:bCs/>
          <w:i w:val="false"/>
          <w:iCs w:val="false"/>
          <w:color w:val="1A1A1A"/>
          <w:sz w:val="21"/>
          <w:szCs w:val="21"/>
        </w:rPr>
        <w:t xml:space="preserve">keine garantierte Verfügbarkeit (Uptime)</w:t>
      </w:r>
      <w:r>
        <w:rPr>
          <w:rFonts w:ascii="Arial" w:cs="Arial" w:eastAsia="Arial" w:hAnsi="Arial"/>
          <w:b w:val="false"/>
          <w:bCs w:val="false"/>
          <w:i w:val="false"/>
          <w:iCs w:val="false"/>
          <w:color w:val="1A1A1A"/>
          <w:sz w:val="21"/>
          <w:szCs w:val="21"/>
        </w:rPr>
        <w:t xml:space="preserve"> der Agenten. Als </w:t>
      </w:r>
      <w:r>
        <w:rPr>
          <w:rFonts w:ascii="Arial" w:cs="Arial" w:eastAsia="Arial" w:hAnsi="Arial"/>
          <w:b/>
          <w:bCs/>
          <w:i w:val="false"/>
          <w:iCs w:val="false"/>
          <w:color w:val="1A1A1A"/>
          <w:sz w:val="21"/>
          <w:szCs w:val="21"/>
        </w:rPr>
        <w:t xml:space="preserve">unverbindliche Zielkennzahl</w:t>
      </w:r>
      <w:r>
        <w:rPr>
          <w:rFonts w:ascii="Arial" w:cs="Arial" w:eastAsia="Arial" w:hAnsi="Arial"/>
          <w:b w:val="false"/>
          <w:bCs w:val="false"/>
          <w:i w:val="false"/>
          <w:iCs w:val="false"/>
          <w:color w:val="1A1A1A"/>
          <w:sz w:val="21"/>
          <w:szCs w:val="21"/>
        </w:rPr>
        <w:t xml:space="preserve"> strebt NexAI für die von ihr selbst betriebene Orchestrierungsschicht eine Verfügbarkeit von </w:t>
      </w:r>
      <w:r>
        <w:rPr>
          <w:rFonts w:ascii="Arial" w:cs="Arial" w:eastAsia="Arial" w:hAnsi="Arial"/>
          <w:b/>
          <w:bCs/>
          <w:i w:val="false"/>
          <w:iCs w:val="false"/>
          <w:color w:val="1A1A1A"/>
          <w:sz w:val="21"/>
          <w:szCs w:val="21"/>
        </w:rPr>
        <w:t xml:space="preserve">99 % im Monatsmittel</w:t>
      </w:r>
      <w:r>
        <w:rPr>
          <w:rFonts w:ascii="Arial" w:cs="Arial" w:eastAsia="Arial" w:hAnsi="Arial"/>
          <w:b w:val="false"/>
          <w:bCs w:val="false"/>
          <w:i w:val="false"/>
          <w:iCs w:val="false"/>
          <w:color w:val="1A1A1A"/>
          <w:sz w:val="21"/>
          <w:szCs w:val="21"/>
        </w:rPr>
        <w:t xml:space="preserve"> an.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Berechnung dieser Zielkennzahl bleiben unberücksichtigt: (a) Ausfälle, Störungen und Wartungen von Subunternehmern und Drittdiensten, (b) angekündigte und Notfall-Wartungsfenster (Abschnitt 6), (c) Ereignisse höherer Gewalt sowie (d) Störungen aus dem Verantwortungsbereich des Kunden oder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Zielkennzahl stellt eine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keine Beschaffenheits- oder Verfügbarkeitsgarantie</w:t>
      </w:r>
      <w:r>
        <w:rPr>
          <w:rFonts w:ascii="Arial" w:cs="Arial" w:eastAsia="Arial" w:hAnsi="Arial"/>
          <w:b w:val="false"/>
          <w:bCs w:val="false"/>
          <w:i w:val="false"/>
          <w:iCs w:val="false"/>
          <w:color w:val="1A1A1A"/>
          <w:sz w:val="21"/>
          <w:szCs w:val="21"/>
        </w:rPr>
        <w:t xml:space="preserve"> und keine zugesicherte Eigenschaft dar. Aus dem bloßen Nichterreichen der Zielkennzahl ergeben sich keine Vertragsstrafen, Gutschriften oder Minderungsansprüche, soweit nicht ausdrücklich abweichend vereinbart. Zwingende gesetzliche Ansprüche des Kunden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Agenten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w:t>
      </w:r>
      <w:r>
        <w:rPr>
          <w:rFonts w:ascii="Arial" w:cs="Arial" w:eastAsia="Arial" w:hAnsi="Arial"/>
          <w:b/>
          <w:bCs/>
          <w:i w:val="false"/>
          <w:iCs w:val="false"/>
          <w:color w:val="1A1A1A"/>
          <w:sz w:val="21"/>
          <w:szCs w:val="21"/>
        </w:rPr>
        <w:t xml:space="preserve">Sicherung seiner eigenen Daten</w:t>
      </w:r>
      <w:r>
        <w:rPr>
          <w:rFonts w:ascii="Arial" w:cs="Arial" w:eastAsia="Arial" w:hAnsi="Arial"/>
          <w:b w:val="false"/>
          <w:bCs w:val="false"/>
          <w:i w:val="false"/>
          <w:iCs w:val="false"/>
          <w:color w:val="1A1A1A"/>
          <w:sz w:val="21"/>
          <w:szCs w:val="21"/>
        </w:rPr>
        <w:t xml:space="preserve"> selbst verantwortlich. Führendes System für Geschäftsdaten ist das jeweilige </w:t>
      </w:r>
      <w:r>
        <w:rPr>
          <w:rFonts w:ascii="Arial" w:cs="Arial" w:eastAsia="Arial" w:hAnsi="Arial"/>
          <w:b/>
          <w:bCs/>
          <w:i w:val="false"/>
          <w:iCs w:val="false"/>
          <w:color w:val="1A1A1A"/>
          <w:sz w:val="21"/>
          <w:szCs w:val="21"/>
        </w:rPr>
        <w:t xml:space="preserve">Kundensystem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 über die vertraglich vereinbarten Betriebsleistungen hinausgehende Datensicherung. Soweit eine Speicherung technisch abschaltbar ist, erfolgt keine Speicherung; im Übrigen gelten die Regelungen der Vertragsdokumente, insbesondere zur Aufbewahrung (regelmäßig sechs Monate) sowie zum 30-tägigen Export vor Löschung bei Vertragsende.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Vor Eingriffen, die mit einem Risiko für Datenbestände verbunden sein können, obliegt es dem Kunden, im Rahmen des Zumutbaren aktuelle Sicherungen der in seinen Systemen geführten Daten vorzuhalten.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und Funktionsfähigkeit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NexAI hat auf deren Verfügbarkeit, Leistungsfähigkeit und Änderungen keinen Einfluss und übernimmt hierfür keine Gewähr. Störungen dieser Dienste liegen außerhalb des Verantwortungsbereichs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dieses SLA mit Wirkung für die Zukunft anzupassen, soweit dies aus sachlichen Gründen – insbesondere aufgrund technischer Weiterentwicklungen, geänderter Leistungen von Subunternehmern oder geänderter rechtlicher Rahmenbedingungen – erforderlich ist und die Anpassung den Kunden nicht unangemessen benachteiligt. Der wesentliche Kern der geschuldeten Leistung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Änderungen kündigt NexAI mindestens </w:t>
      </w:r>
      <w:r>
        <w:rPr>
          <w:rFonts w:ascii="Arial" w:cs="Arial" w:eastAsia="Arial" w:hAnsi="Arial"/>
          <w:b/>
          <w:bCs/>
          <w:i w:val="false"/>
          <w:iCs w:val="false"/>
          <w:color w:val="1A1A1A"/>
          <w:sz w:val="21"/>
          <w:szCs w:val="21"/>
        </w:rPr>
        <w:t xml:space="preserve">sechs Wochen</w:t>
      </w:r>
      <w:r>
        <w:rPr>
          <w:rFonts w:ascii="Arial" w:cs="Arial" w:eastAsia="Arial" w:hAnsi="Arial"/>
          <w:b w:val="false"/>
          <w:bCs w:val="false"/>
          <w:i w:val="false"/>
          <w:iCs w:val="false"/>
          <w:color w:val="1A1A1A"/>
          <w:sz w:val="21"/>
          <w:szCs w:val="21"/>
        </w:rPr>
        <w:t xml:space="preserve"> vor ihrem Wirksamwerden in Textform an; dabei werden die geänderten Regelungen mitgeteilt oder in konsolidierter Fassung übermittelt.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Beeinträchtigt die Änderung die Interessen des Kunden nicht nur unerheblich,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des betroffenen Betriebsverhältnisses zum Zeitpunkt des Wirksamwerdens der Änderung zu. Kündigt der Kunde nicht, wird die Änderung zum angekündigten Zeitpunkt wirksam. Eine </w:t>
      </w:r>
      <w:r>
        <w:rPr>
          <w:rFonts w:ascii="Arial" w:cs="Arial" w:eastAsia="Arial" w:hAnsi="Arial"/>
          <w:b/>
          <w:bCs/>
          <w:i w:val="false"/>
          <w:iCs w:val="false"/>
          <w:color w:val="1A1A1A"/>
          <w:sz w:val="21"/>
          <w:szCs w:val="21"/>
        </w:rPr>
        <w:t xml:space="preserve">Zustimmungsfiktion</w:t>
      </w:r>
      <w:r>
        <w:rPr>
          <w:rFonts w:ascii="Arial" w:cs="Arial" w:eastAsia="Arial" w:hAnsi="Arial"/>
          <w:b w:val="false"/>
          <w:bCs w:val="false"/>
          <w:i w:val="false"/>
          <w:iCs w:val="false"/>
          <w:color w:val="1A1A1A"/>
          <w:sz w:val="21"/>
          <w:szCs w:val="21"/>
        </w:rPr>
        <w:t xml:space="preserve"> wird nicht vereinbart; auf das Sonderkündigungsrecht und die Bedeutung eines Unterbleibens der Kündigung wird in der Änderungsankündigung gesondert hingewiesen.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Dokument ist ein sorgfältig erstellter Entwurf und ersetzt keine Rechtsberatung im Einzelfall. Es sollte vor Verwendung für den konkreten Einzelfall anwaltlich geprüft werden.</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Website-Erstellung und Ersteinrichtung)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sind nicht Gegenstand dieser Abnahme; sie richten sich nach den dienstvertraglichen Regelungen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Social-Media-Agent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Vertriebs-/Akquise-Agent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Website (Erstellung / Relaunch)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Behält sich der Kunde die Geltendmachung eines bei der Abnahme bekannten Mangels nicht vor, so stehen ihm die Rechte aus §§ 634 Nr. 1 bis 3 BGB insoweit nur zu, wenn er sich diese bei der Abnahme vorbehält (§ 640 Abs. 3 BGB); die weiteren Gewährleistungsrechte bleiben hiervon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an und setzt dem Kunden eine angemessene Frist zur Abnahme, so gilt die Werkleistung nach Ablauf dieser Frist als abgenommen, wenn der Kunde die Abnahme nicht innerhalb der Frist unter Angabe mindestens eines Mangels verweigert hat. Auf diese Rechtsfolge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Beginn der Gewährleistungsfrist:</w:t>
      </w:r>
      <w:r>
        <w:rPr>
          <w:rFonts w:ascii="Arial" w:cs="Arial" w:eastAsia="Arial" w:hAnsi="Arial"/>
          <w:b w:val="false"/>
          <w:bCs w:val="false"/>
          <w:i w:val="false"/>
          <w:iCs w:val="false"/>
          <w:color w:val="1A1A1A"/>
          <w:sz w:val="21"/>
          <w:szCs w:val="21"/>
        </w:rPr>
        <w:t xml:space="preserve"> Mit der Abnahme – einschließlich der Fälle der Abnahmefiktion nach vorstehender Ziffer (3) sowie einer etwaigen Teilabnahme gemäß Ziffer 3 (4) – beginnt die auf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verkürzte Verjährungsfrist für Mängelansprüche des Kunden hinsichtlich der abgenommenen Werkleistungen. Die gesetzlich zwingenden Ausnahmen (Vorsatz, Arglist, Schäden aus der Verletzung des Lebens, des Körpers oder der Gesundheit sowie grobes Verschulden) bleiben unberührt; im Übrigen gelten die Regelungen des Rahmenvertrages und der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Abnahmeprotokoll ist Teil eines sorgfältig erstellten Vertragsentwurfs. Es ersetzt keine Rechtsberatung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Dies ist ein sorgfältig erstellter Entwurf. Er ersetzt keine Rechtsberatung und sollte für den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und digitalen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gelten die zwischen den Parteien getroffenen Vertragsdokumente in folgender Rangfolge; im Falle von Widersprüchen geht das jeweils höherrangige Dokument vor: (1.) das Auftragsformular/der Leistungsschein einschließlich individueller Abreden, (2.) der Rahmenvertrag nebst seinen Anlagen A (Leistungsbeschreibung), B (Auftragsverarbeitungsvertrag), C (SLA) und D (Abnahmeprotokoll), (3.) diese AGB.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Social-Media-Agenten, Vertriebs-/Akquise-Agenten, Automatisierungen und individuelle KI-Agenten, richtet diese ein und/oder betreibt sie laufend.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Erstellung von Websites und die Ersteinrichtung von Agenten (nachfolgend "Projektleistungen", Werkvertragsrecht) sowie den laufenden Betrieb, die Wartung, das Hosting und den Support der Agenten (nachfolgend "Betriebsleistungen", Dienstvertragsrecht). Die rechtliche Einordnung der jeweiligen Leistung richtet sich nach ihrem Schwerpunkt.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dürfen keine rechtsverbindlichen Erklärungen im Namen des Kunden abgeben, insbesondere keine verbindlichen Preiszusagen, Bestellungen oder Vertragsabschlüsse tätigen.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ist berechtigt, die Leistungen im Rahmen des vertraglich Vereinbarten fortzuentwickeln und technisch anzupassen, soweit dies dem technischen Fortschritt dient und die vereinbarte Funktionalität nicht wesentlich beeinträchtigt wird.</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Nebenabreden, Änderungen und Ergänzungen des Vertrages bedürfen zu ihrer Wirksamkeit der Textform. Dies gilt auch für die Aufhebung dieses Textformerfordernisses.</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fällt keine Einrichtungs- oder Setup-Gebühr an. Für die Leistungen ist ausschließlich ein monatlicher oder – bei entsprechender Wahl – ein jährlicher Beitrag nach Maßgabe des Auftragsformulars zu entrichten.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Bis zur Erteilung einer Umsatzsteuer-Identifikationsnummer wird auf den Rechnungen die Steuernummer ausgewiesen.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angemessenen Nachfrist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Kunde kann nur mit unbestrittenen oder rechtskräftig festgestellten Forderungen aufrechnen. Ein Zurückbehaltungsrecht steht ihm nur wegen Gegenansprüchen aus demselben Vertragsverhältnis zu.</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dem Kunden Änderungen der Preise und dieser AGB mit einer Ankündigungsfrist von 6 Wochen in Textform anzubieten. Die Ankündigung benennt die betroffenen Regelungen, den Umfang der Änderung und den vorgesehenen Zeitpunkt des Inkrafttretens und weist den Kunden gesondert auf sein Kündigungsrecht sowie auf die Rechtsfolgen nach Absatz 2 hin.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Zustimmung des Kunden wird nicht durch bloßes Schweigen fingiert; eine Zustimmungsfiktion findet nicht statt. Die angekündigten Änderungen werden nur wirksam, wenn der Kunde ihnen ausdrücklich in Textform zustimmt oder er die entgeltpflichtigen Leistungen nach Zugang der Ankündigung und nach dem gesonderten Hinweis nach Absatz 1 vorbehaltlos weiter in Anspruch nimmt; in der vorbehaltlosen Weiterinanspruchnahme liegt eine konkludente Zustimmung. Bis zum Wirksamwerden einer Änderung gelten die bisherigen Bedingungen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Kommt eine Einigung über die angekündigte Änderung nicht zustande oder widerspricht der Kunde ihr, so sind sowohl NexAI als auch der Kunde berechtigt, das Vertragsverhältnis nach den Regelungen des Rahmenvertrages mit Wirkung zum vorgesehenen Zeitpunkt des Inkrafttretens der Änderung ordentlich zu kündigen. Kündigt keine Partei, bleiben die bisherigen Bedingungen unverändert bestehen.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oder im Auftragsformular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Vapi, Twilio, Make, OpenAI, ElevenLabs, Google sowie Hosting-Anbieter.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für Handlungen oder Unterlassungen der Subunternehmer nur nach Maßgabe des § 11 (Haftung) und nur, soweit NexAI ein eigenes Verschulden, insbesondere bei Auswahl, Anweisung oder Überwachung, trifft. Ausfälle, Störungen, Preis- oder Leistungsänderungen von Subunternehmern, die NexAI nicht zu vertreten hat, begründen keinen Mangel und keine Haftung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Aufzeichnung und Transkription von Gesprächen ist standardmäßig deaktiviert und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als Bemühensschuld. Eine bestimmte Verfügbarkeit wird nur geschuldet, soweit sie in Anlage C (SLA) ausdrücklich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Möglichkeit ankündigt und in nutzungsarme Zeiten legt, stellen keinen Mangel und keine Pflichtverletzung dar. Gleiches gilt für Beeinträchtigungen, die auf Störungen bei Subunternehmern oder auf höherer Gewalt beruhen.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leicht fahrlässigen Verletzung einer wesentlichen Vertragspflicht (Kardinalpflicht), also einer Pflicht, deren Erfüllung die ordnungsgemäße Durchführung des Vertrages überhaupt erst ermöglicht und auf deren Einhaltung der Kunde regelmäßig vertrauen darf, ist die Haftung von NexAI auf den bei Vertragsschluss vorhersehbaren, vertragstypischen Schaden begrenzt, höchstens jedoch auf ____ EUR je Schadensfall.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Wo dies technisch abschaltbar ist, erfolgt keine Speicherung von Gesprächs- oder Interaktionsdaten. Ist eine Speicherung technisch nicht abschaltbar, werden die Daten für 6 Monate aufbewahrt und sodann gelöscht. Geschäftsdaten werden zusätzlich in den Systemen des Kunden geführt; diese sind das führende System.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innerhalb einer Frist von 30 Tagen zum Export bereit und löscht sie anschließend; über die Löschung erteilt NexAI auf Verlangen eine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NexAI im Rahmen von Vertriebs-/Akquise-Agenten selbst Kontakte recherchiert, hält NexAI die einschlägigen Vorgaben ein, insbesondere die Grenzen zulässiger B2B-Ansprache, die Informationspflichten nach Art. 14 DSGVO sowie die Dokumentation von Widersprüchen (Opt-out). Der Kunde sichert zu, dass die von ihm veranlassten Kampagnen rechtmäßig sind. NexAI ist berechtigt, die Durchführung erkennbar rechtswidriger Kampagnen abzulehnen.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Ereignisse höherer Gewalt, die NexAI die Leistungserbringung wesentlich erschweren oder vorübergehend unmöglich machen, befreien NexAI für die Dauer ihrer Auswirkungen von der Leistungspflicht. Als höhere Gewalt gelten insbesondere Naturkatastrophen, Epidemien und Pandemien, kriegerische Auseinandersetzungen, Terroranschläge, Arbeitskämpfe, behördliche Maßnahmen, großflächige Ausfälle von Telekommunikations- oder Energieinfrastruktur sowie schwerwiegende, nicht zu vertretende Störungen bei Subunternehmern. NexAI wird den Kunden über den Eintritt und die voraussichtliche Dauer unverzüglich informieren und sich um Abhilfe bemühen.</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Ausschließlicher Gerichtsstand für alle Streitigkeiten aus und im Zusammenhang mit dem Vertragsverhältnis ist, soweit der Kunde Kaufmann, juristische Person des öffentlichen Rechts oder öffentlich-rechtliches Sondervermögen ist, der Sitz von NexAI. NexAI ist daneben berechtigt, den Kunden an seinem allgemeinen Gerichtsstand zu verklagen.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Allgemeinen Geschäftsbedingungen stellen einen sorgfältig erstellten Entwurf dar und sollten vor Verwendung im Einzelfall anwaltlich geprüft werden.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Vertragswerk</dc:title>
  <dc:creator>NexAI</dc:creator>
  <cp:lastModifiedBy>Un-named</cp:lastModifiedBy>
  <cp:revision>1</cp:revision>
  <dcterms:created xsi:type="dcterms:W3CDTF">2026-09-06T14:17:12.263Z</dcterms:created>
  <dcterms:modified xsi:type="dcterms:W3CDTF">2026-09-06T14:17:12.264Z</dcterms:modified>
</cp:coreProperties>
</file>

<file path=docProps/custom.xml><?xml version="1.0" encoding="utf-8"?>
<Properties xmlns="http://schemas.openxmlformats.org/officeDocument/2006/custom-properties" xmlns:vt="http://schemas.openxmlformats.org/officeDocument/2006/docPropsVTypes"/>
</file>