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Haben die Parteien den selbsttätigen Versand in Ziffer 3.3 des Auftragsformulars vereinbart (gesonderte Vereinbarung im Sinne von § 6 Abs. (2) des Rahmenvertrages), versendet der Mailagent Antworten an Absender, die die Verwaltung des Kunden auf die Freigabeliste setzt, selbsttätig, sofern der Entwurf keine offene Lücke, Frage oder Warnung enthält, der Absender nicht als auffällig eingestuft ist, kein Versuch einer Anweisung an die Anwendung erkannt wurde und eine nach den Freigaberegeln erforderliche Zweitfreigabe vorliegt [setzt voraus: technische Sperre der Freigabeliste, solange der selbsttätige Versand nicht vereinbart ist]. Solche Antworten sind Erklärungen des Kunden;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nicht abschaltbarer Hinweis auf die Unterstützung durch KI; den Wortlaut legt NexAI fest [setzt voraus: Mailagent-Version b50aa80 ausgerollt].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wie Nachrichten; gespeicherte Bankverbindungen bekannter Absender 24 Monate nach ihrer letzten Nennung [setzt voraus: Mailagent-Version 5fdebe0 ausgerollt]. c) Der Kunde kann die Fristen in der Anwendung ändern, ausgenommen die Frist für gespeicherte Bankverbindungen, die der Betrugserkennung dient;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A – Leistungsbeschreibung</dc:title>
  <dc:creator>NexAI</dc:creator>
  <cp:lastModifiedBy>Un-named</cp:lastModifiedBy>
  <cp:revision>1</cp:revision>
  <dcterms:created xsi:type="dcterms:W3CDTF">2026-10-18T14:49:06.983Z</dcterms:created>
  <dcterms:modified xsi:type="dcterms:W3CDTF">2026-10-18T14:49:06.984Z</dcterms:modified>
</cp:coreProperties>
</file>

<file path=docProps/custom.xml><?xml version="1.0" encoding="utf-8"?>
<Properties xmlns="http://schemas.openxmlformats.org/officeDocument/2006/custom-properties" xmlns:vt="http://schemas.openxmlformats.org/officeDocument/2006/docPropsVTypes"/>
</file>