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
        <w:jc w:val="left"/>
      </w:pPr>
      <w:r>
        <w:rPr>
          <w:rFonts w:ascii="Arial" w:cs="Arial" w:eastAsia="Arial" w:hAnsi="Arial"/>
          <w:b/>
          <w:bCs/>
          <w:i w:val="false"/>
          <w:iCs w:val="false"/>
          <w:color w:val="0B0B0F"/>
          <w:sz w:val="40"/>
          <w:szCs w:val="40"/>
        </w:rPr>
        <w:t xml:space="preserve">Auftragsformular / Leistungsschein</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Individualabrede zum Rahmenvertrag über KI-Agenten und digitale Assistenten</w:t>
      </w:r>
    </w:p>
    <w:p>
      <w:pPr>
        <w:spacing w:after="200"/>
      </w:pPr>
      <w:r>
        <w:rPr>
          <w:rFonts w:ascii="Arial" w:cs="Arial" w:eastAsia="Arial" w:hAnsi="Arial"/>
          <w:b w:val="false"/>
          <w:bCs w:val="false"/>
          <w:i w:val="false"/>
          <w:iCs w:val="false"/>
          <w:color w:val="6B7280"/>
          <w:sz w:val="18"/>
          <w:szCs w:val="18"/>
        </w:rPr>
        <w:t xml:space="preserve">Stand: Oktober 2026</w:t>
      </w:r>
    </w:p>
    <w:p>
      <w:pPr>
        <w:spacing w:after="120"/>
      </w:pPr>
      <w:r>
        <w:rPr>
          <w:sz w:val="2"/>
          <w:szCs w:val="2"/>
        </w:rPr>
        <w:t xml:space="preserve"/>
      </w:r>
    </w:p>
    <w:p>
      <w:pPr>
        <w:spacing w:after="120" w:line="276"/>
        <w:jc w:val="both"/>
      </w:pPr>
      <w:r>
        <w:rPr>
          <w:rFonts w:ascii="Arial" w:cs="Arial" w:eastAsia="Arial" w:hAnsi="Arial"/>
          <w:b w:val="false"/>
          <w:bCs w:val="false"/>
          <w:i w:val="false"/>
          <w:iCs w:val="false"/>
          <w:color w:val="1A1A1A"/>
          <w:sz w:val="21"/>
          <w:szCs w:val="21"/>
        </w:rPr>
        <w:t xml:space="preserve">Dieses Auftragsformular (nachfolgend "Leistungsschein") konkretisiert die konkret beauftragten Leistungen, Beträge und Rahmenbedingungen zwischen den nachstehenden Parteien. Er ist ein </w:t>
      </w:r>
      <w:r>
        <w:rPr>
          <w:rFonts w:ascii="Arial" w:cs="Arial" w:eastAsia="Arial" w:hAnsi="Arial"/>
          <w:b/>
          <w:bCs/>
          <w:i w:val="false"/>
          <w:iCs w:val="false"/>
          <w:color w:val="1A1A1A"/>
          <w:sz w:val="21"/>
          <w:szCs w:val="21"/>
        </w:rPr>
        <w:t xml:space="preserve">Vertragsdokument</w:t>
      </w:r>
      <w:r>
        <w:rPr>
          <w:rFonts w:ascii="Arial" w:cs="Arial" w:eastAsia="Arial" w:hAnsi="Arial"/>
          <w:b w:val="false"/>
          <w:bCs w:val="false"/>
          <w:i w:val="false"/>
          <w:iCs w:val="false"/>
          <w:color w:val="1A1A1A"/>
          <w:sz w:val="21"/>
          <w:szCs w:val="21"/>
        </w:rPr>
        <w:t xml:space="preserve"> im Sinne des Rahmenvertrags und stellt eine </w:t>
      </w:r>
      <w:r>
        <w:rPr>
          <w:rFonts w:ascii="Arial" w:cs="Arial" w:eastAsia="Arial" w:hAnsi="Arial"/>
          <w:b/>
          <w:bCs/>
          <w:i w:val="false"/>
          <w:iCs w:val="false"/>
          <w:color w:val="1A1A1A"/>
          <w:sz w:val="21"/>
          <w:szCs w:val="21"/>
        </w:rPr>
        <w:t xml:space="preserve">Individualabrede</w:t>
      </w:r>
      <w:r>
        <w:rPr>
          <w:rFonts w:ascii="Arial" w:cs="Arial" w:eastAsia="Arial" w:hAnsi="Arial"/>
          <w:b w:val="false"/>
          <w:bCs w:val="false"/>
          <w:i w:val="false"/>
          <w:iCs w:val="false"/>
          <w:color w:val="1A1A1A"/>
          <w:sz w:val="21"/>
          <w:szCs w:val="21"/>
        </w:rPr>
        <w:t xml:space="preserve"> dar. Bei Widersprüchen zwischen diesem Leistungsschein, dem Rahmenvertrag, den Anlagen und den AGB (B2B) gilt die im Rahmenvertrag festgelegte Rangfolge. Die in diesem Leistungsschein getroffenen individuellen Vereinbarungen gehen den AGB (B2B) als Individualabrede nach § 305b BGB vor.</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Vertragsparteien</w:t>
      </w:r>
    </w:p>
    <w:p>
      <w:pPr>
        <w:pStyle w:val="Heading2"/>
        <w:keepNext/>
        <w:spacing w:after="80" w:before="160"/>
      </w:pPr>
      <w:r>
        <w:rPr>
          <w:rFonts w:ascii="Arial" w:cs="Arial" w:eastAsia="Arial" w:hAnsi="Arial"/>
          <w:b/>
          <w:bCs/>
          <w:i w:val="false"/>
          <w:iCs w:val="false"/>
          <w:color w:val="0B0B0F"/>
          <w:sz w:val="21"/>
          <w:szCs w:val="21"/>
        </w:rPr>
        <w:t xml:space="preserve">Auftragnehmer ("NexAI")</w:t>
      </w:r>
    </w:p>
    <w:p>
      <w:pPr>
        <w:spacing w:after="120" w:line="276"/>
        <w:jc w:val="both"/>
      </w:pPr>
      <w:r>
        <w:rPr>
          <w:rFonts w:ascii="Arial" w:cs="Arial" w:eastAsia="Arial" w:hAnsi="Arial"/>
          <w:b w:val="false"/>
          <w:bCs w:val="false"/>
          <w:i w:val="false"/>
          <w:iCs w:val="false"/>
          <w:color w:val="1A1A1A"/>
          <w:sz w:val="21"/>
          <w:szCs w:val="21"/>
        </w:rPr>
        <w:t xml:space="preserve">NexAI – Next Generation Artificial Intelligence GbR, Untere Bergstraße 13, 74586 Frankenhardt-Honhardt, Deutschland, vertreten durch die Gesellschafter Maximilian Trenk und Jason Brian Merklein, E-Mail mbt@nex-a-i.com, Telefon 0176 80714816.</w:t>
      </w:r>
    </w:p>
    <w:p>
      <w:pPr>
        <w:pStyle w:val="Heading2"/>
        <w:keepNext/>
        <w:spacing w:after="80" w:before="160"/>
      </w:pPr>
      <w:r>
        <w:rPr>
          <w:rFonts w:ascii="Arial" w:cs="Arial" w:eastAsia="Arial" w:hAnsi="Arial"/>
          <w:b/>
          <w:bCs/>
          <w:i w:val="false"/>
          <w:iCs w:val="false"/>
          <w:color w:val="0B0B0F"/>
          <w:sz w:val="21"/>
          <w:szCs w:val="21"/>
        </w:rPr>
        <w:t xml:space="preserve">Auftraggeber ("Kunde")</w:t>
      </w:r>
    </w:p>
    <w:p>
      <w:pPr>
        <w:spacing w:after="120"/>
      </w:pPr>
      <w:r>
        <w:rPr>
          <w:rFonts w:ascii="Arial" w:cs="Arial" w:eastAsia="Arial" w:hAnsi="Arial"/>
          <w:b/>
          <w:bCs/>
          <w:color w:val="1A1A1A"/>
          <w:sz w:val="21"/>
          <w:szCs w:val="21"/>
        </w:rPr>
        <w:t xml:space="preserve">Firma / Unternehmen: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Rechtsform: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Ansprechpartner / Funktion: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Anschrift (Straße, Hausnr.):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PLZ / Ort: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Land: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Rechnungs-E-Mail-Adresse (für Rechnungen und Mahnungen):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Telefon: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USt-IdNr. / Steuernummer: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Handelsregister / Registergericht (soweit vorhanden):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Der Kunde bestätigt, den Vertrag als Unternehmer im Sinne des § 14 BGB in Ausübung seiner gewerblichen oder selbständigen beruflichen Tätigkeit abzuschließen (B2B).</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Bezug zum Rahmenvertrag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Diesem Leistungsschein liegt der zwischen den Parteien geschlossene Rahmenvertrag über die Bereitstellung und den Betrieb von KI-Agenten (nachfolgend "Rahmenvertrag") nebst seinen Anlagen zugrunde. Die dort definierten Begriffe gelten in diesem Leistungsschein einheitlich.</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Mit Unterzeichnung dieses Leistungsscheins bestätigt der Kunde, dass ihm der Rahmenvertrag, die AGB (B2B) sowie die Anlagen A (Leistungsbeschreibung), B (AVV), C (SLA) und D (Abnahmeprotokoll) vorliegen und Vertragsbestandteil sind.</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datenschutzrechtliche Rollenverteilung (Verantwortlicher / Auftragsverarbeiter) richtet sich nach Anlage B (AVV); die Rollenverteilung nach der KI-VO ergibt sich aus Ziffer 4 dieses Leistungsscheins.</w:t>
      </w:r>
    </w:p>
    <w:p>
      <w:pPr>
        <w:spacing w:after="120"/>
      </w:pPr>
      <w:r>
        <w:rPr>
          <w:rFonts w:ascii="Arial" w:cs="Arial" w:eastAsia="Arial" w:hAnsi="Arial"/>
          <w:b/>
          <w:bCs/>
          <w:color w:val="1A1A1A"/>
          <w:sz w:val="21"/>
          <w:szCs w:val="21"/>
        </w:rPr>
        <w:t xml:space="preserve">Rahmenvertrag vom / Version: </w:t>
      </w:r>
      <w:r>
        <w:rPr>
          <w:rFonts w:ascii="Arial" w:cs="Arial" w:eastAsia="Arial" w:hAnsi="Arial"/>
          <w:color w:val="6B7280"/>
          <w:sz w:val="21"/>
          <w:szCs w:val="21"/>
          <w:u w:val="single"/>
        </w:rPr>
        <w:t xml:space="preserve">                                                </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Beauftragte Leistungen</w:t>
      </w:r>
    </w:p>
    <w:p>
      <w:pPr>
        <w:spacing w:after="120" w:line="276"/>
        <w:jc w:val="both"/>
      </w:pPr>
      <w:r>
        <w:rPr>
          <w:rFonts w:ascii="Arial" w:cs="Arial" w:eastAsia="Arial" w:hAnsi="Arial"/>
          <w:b w:val="false"/>
          <w:bCs w:val="false"/>
          <w:i w:val="false"/>
          <w:iCs w:val="false"/>
          <w:color w:val="1A1A1A"/>
          <w:sz w:val="21"/>
          <w:szCs w:val="21"/>
        </w:rPr>
        <w:t xml:space="preserve">Der Kunde beauftragt die nachfolgend angekreuzten Leistungen. Die nähere Beschreibung ergibt sich aus Anlage A (Leistungsbeschreibung).</w:t>
      </w:r>
    </w:p>
    <w:p>
      <w:pPr>
        <w:pStyle w:val="Heading2"/>
        <w:keepNext/>
        <w:spacing w:after="80" w:before="160"/>
      </w:pPr>
      <w:r>
        <w:rPr>
          <w:rFonts w:ascii="Arial" w:cs="Arial" w:eastAsia="Arial" w:hAnsi="Arial"/>
          <w:b/>
          <w:bCs/>
          <w:i w:val="false"/>
          <w:iCs w:val="false"/>
          <w:color w:val="0B0B0F"/>
          <w:sz w:val="21"/>
          <w:szCs w:val="21"/>
        </w:rPr>
        <w:t xml:space="preserve">3.1 Betriebsleistungen (laufender Betrieb von Agenten und Anwendungen)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Voice Agent</w:t>
      </w:r>
      <w:r>
        <w:rPr>
          <w:rFonts w:ascii="Arial" w:cs="Arial" w:eastAsia="Arial" w:hAnsi="Arial"/>
          <w:b w:val="false"/>
          <w:bCs w:val="false"/>
          <w:i w:val="false"/>
          <w:iCs w:val="false"/>
          <w:color w:val="1A1A1A"/>
          <w:sz w:val="21"/>
          <w:szCs w:val="21"/>
        </w:rPr>
        <w:t xml:space="preserve"> (KI-Telefonassistent für ein- und/oder ausgehende Gespräche)</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Chat Agent</w:t>
      </w:r>
      <w:r>
        <w:rPr>
          <w:rFonts w:ascii="Arial" w:cs="Arial" w:eastAsia="Arial" w:hAnsi="Arial"/>
          <w:b w:val="false"/>
          <w:bCs w:val="false"/>
          <w:i w:val="false"/>
          <w:iCs w:val="false"/>
          <w:color w:val="1A1A1A"/>
          <w:sz w:val="21"/>
          <w:szCs w:val="21"/>
        </w:rPr>
        <w:t xml:space="preserve"> (KI-Chatassistent für Website, Messenger o. Ä.)</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NexAI CRM</w:t>
      </w:r>
      <w:r>
        <w:rPr>
          <w:rFonts w:ascii="Arial" w:cs="Arial" w:eastAsia="Arial" w:hAnsi="Arial"/>
          <w:b w:val="false"/>
          <w:bCs w:val="false"/>
          <w:i w:val="false"/>
          <w:iCs w:val="false"/>
          <w:color w:val="1A1A1A"/>
          <w:sz w:val="21"/>
          <w:szCs w:val="21"/>
        </w:rPr>
        <w:t xml:space="preserve"> (Kundensystem: Kontakte, Anfragen, Termine, Aufgaben, Berichte)</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NexAI Kalender</w:t>
      </w:r>
      <w:r>
        <w:rPr>
          <w:rFonts w:ascii="Arial" w:cs="Arial" w:eastAsia="Arial" w:hAnsi="Arial"/>
          <w:b w:val="false"/>
          <w:bCs w:val="false"/>
          <w:i w:val="false"/>
          <w:iCs w:val="false"/>
          <w:color w:val="1A1A1A"/>
          <w:sz w:val="21"/>
          <w:szCs w:val="21"/>
        </w:rPr>
        <w:t xml:space="preserve"> (Online-Terminbuchung mit Bestätigung und Erinnerung)</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Automatisierung</w:t>
      </w:r>
      <w:r>
        <w:rPr>
          <w:rFonts w:ascii="Arial" w:cs="Arial" w:eastAsia="Arial" w:hAnsi="Arial"/>
          <w:b w:val="false"/>
          <w:bCs w:val="false"/>
          <w:i w:val="false"/>
          <w:iCs w:val="false"/>
          <w:color w:val="1A1A1A"/>
          <w:sz w:val="21"/>
          <w:szCs w:val="21"/>
        </w:rPr>
        <w:t xml:space="preserve"> (Prozess-/Workflow-Automatisierungen)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Individuelle KI-Agenten</w:t>
      </w:r>
      <w:r>
        <w:rPr>
          <w:rFonts w:ascii="Arial" w:cs="Arial" w:eastAsia="Arial" w:hAnsi="Arial"/>
          <w:b w:val="false"/>
          <w:bCs w:val="false"/>
          <w:i w:val="false"/>
          <w:iCs w:val="false"/>
          <w:color w:val="1A1A1A"/>
          <w:sz w:val="21"/>
          <w:szCs w:val="21"/>
        </w:rPr>
        <w:t xml:space="preserve"> (kundenspezifisch entwickelte Agenten)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NexAI App</w:t>
      </w:r>
      <w:r>
        <w:rPr>
          <w:rFonts w:ascii="Arial" w:cs="Arial" w:eastAsia="Arial" w:hAnsi="Arial"/>
          <w:b w:val="false"/>
          <w:bCs w:val="false"/>
          <w:i w:val="false"/>
          <w:iCs w:val="false"/>
          <w:color w:val="1A1A1A"/>
          <w:sz w:val="21"/>
          <w:szCs w:val="21"/>
        </w:rPr>
        <w:t xml:space="preserve"> (individuelle installierbare Anwendung für Kunden oder Beschäftigte)</w:t>
      </w:r>
    </w:p>
    <w:p>
      <w:pPr>
        <w:pStyle w:val="Heading2"/>
        <w:keepNext/>
        <w:spacing w:after="80" w:before="160"/>
      </w:pPr>
      <w:r>
        <w:rPr>
          <w:rFonts w:ascii="Arial" w:cs="Arial" w:eastAsia="Arial" w:hAnsi="Arial"/>
          <w:b/>
          <w:bCs/>
          <w:i w:val="false"/>
          <w:iCs w:val="false"/>
          <w:color w:val="0B0B0F"/>
          <w:sz w:val="21"/>
          <w:szCs w:val="21"/>
        </w:rPr>
        <w:t xml:space="preserve">3.2 Projektleistungen (einmalige Werkleistungen)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Einrichtung und Bereitstellung von Anwendungen</w:t>
      </w:r>
      <w:r>
        <w:rPr>
          <w:rFonts w:ascii="Arial" w:cs="Arial" w:eastAsia="Arial" w:hAnsi="Arial"/>
          <w:b w:val="false"/>
          <w:bCs w:val="false"/>
          <w:i w:val="false"/>
          <w:iCs w:val="false"/>
          <w:color w:val="1A1A1A"/>
          <w:sz w:val="21"/>
          <w:szCs w:val="21"/>
        </w:rPr>
        <w:t xml:space="preserve"> (NexAI CRM, NexAI Kalender, NexAI App; Abnahme nach Anlage D)</w:t>
      </w:r>
    </w:p>
    <w:p>
      <w:pPr>
        <w:spacing w:after="140" w:before="80"/>
      </w:pPr>
      <w:r>
        <w:rPr>
          <w:rFonts w:ascii="Arial" w:cs="Arial" w:eastAsia="Arial" w:hAnsi="Arial"/>
          <w:b w:val="false"/>
          <w:bCs w:val="false"/>
          <w:i/>
          <w:iCs/>
          <w:color w:val="6B7280"/>
          <w:sz w:val="18"/>
          <w:szCs w:val="18"/>
        </w:rPr>
        <w:t xml:space="preserve">Projektleistungen unterliegen dem Werkvertragsrecht, Betriebsleistungen dem Dienstvertragsrecht. Setzt der Kunde einen Agenten für ausgehende Ansprache oder Direktwerbung ein, gelten die besonderen Compliance-Zusicherungen des Kunden nach dem Rahmenvertrag (zulässige Ansprache nach § 7 UWG, Informationspflichten nach Art. 14 DSGVO, Opt-out-Dokumentation).</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Einsatzzweck und KI-VO-Einstufung je Agent</w:t>
      </w:r>
    </w:p>
    <w:p>
      <w:pPr>
        <w:spacing w:after="120" w:line="276"/>
        <w:jc w:val="both"/>
      </w:pPr>
      <w:r>
        <w:rPr>
          <w:rFonts w:ascii="Arial" w:cs="Arial" w:eastAsia="Arial" w:hAnsi="Arial"/>
          <w:b w:val="false"/>
          <w:bCs w:val="false"/>
          <w:i w:val="false"/>
          <w:iCs w:val="false"/>
          <w:color w:val="1A1A1A"/>
          <w:sz w:val="21"/>
          <w:szCs w:val="21"/>
        </w:rPr>
        <w:t xml:space="preserve">Für jeden beauftragten Agenten ist der verbindliche Einsatzzweck festzulegen. Der Kunde bestätigt für jeden Agenten, dass </w:t>
      </w:r>
      <w:r>
        <w:rPr>
          <w:rFonts w:ascii="Arial" w:cs="Arial" w:eastAsia="Arial" w:hAnsi="Arial"/>
          <w:b/>
          <w:bCs/>
          <w:i w:val="false"/>
          <w:iCs w:val="false"/>
          <w:color w:val="1A1A1A"/>
          <w:sz w:val="21"/>
          <w:szCs w:val="21"/>
        </w:rPr>
        <w:t xml:space="preserve">kein Hochrisiko-Einsatz nach Anhang III der Verordnung (EU) 2024/1689 (KI-VO)</w:t>
      </w:r>
      <w:r>
        <w:rPr>
          <w:rFonts w:ascii="Arial" w:cs="Arial" w:eastAsia="Arial" w:hAnsi="Arial"/>
          <w:b w:val="false"/>
          <w:bCs w:val="false"/>
          <w:i w:val="false"/>
          <w:iCs w:val="false"/>
          <w:color w:val="1A1A1A"/>
          <w:sz w:val="21"/>
          <w:szCs w:val="21"/>
        </w:rPr>
        <w:t xml:space="preserve"> vorliegt und die Agenten ausschließlich für die angegebenen Zwecke eingesetzt werden. NexAI ist für die Bereitstellung und den Betrieb </w:t>
      </w:r>
      <w:r>
        <w:rPr>
          <w:rFonts w:ascii="Arial" w:cs="Arial" w:eastAsia="Arial" w:hAnsi="Arial"/>
          <w:b/>
          <w:bCs/>
          <w:i w:val="false"/>
          <w:iCs w:val="false"/>
          <w:color w:val="1A1A1A"/>
          <w:sz w:val="21"/>
          <w:szCs w:val="21"/>
        </w:rPr>
        <w:t xml:space="preserve">Anbieter</w:t>
      </w:r>
      <w:r>
        <w:rPr>
          <w:rFonts w:ascii="Arial" w:cs="Arial" w:eastAsia="Arial" w:hAnsi="Arial"/>
          <w:b w:val="false"/>
          <w:bCs w:val="false"/>
          <w:i w:val="false"/>
          <w:iCs w:val="false"/>
          <w:color w:val="1A1A1A"/>
          <w:sz w:val="21"/>
          <w:szCs w:val="21"/>
        </w:rPr>
        <w:t xml:space="preserve">, der Kunde als bestimmungsgemäßer Einsetzender </w:t>
      </w:r>
      <w:r>
        <w:rPr>
          <w:rFonts w:ascii="Arial" w:cs="Arial" w:eastAsia="Arial" w:hAnsi="Arial"/>
          <w:b/>
          <w:bCs/>
          <w:i w:val="false"/>
          <w:iCs w:val="false"/>
          <w:color w:val="1A1A1A"/>
          <w:sz w:val="21"/>
          <w:szCs w:val="21"/>
        </w:rPr>
        <w:t xml:space="preserve">Betreiber</w:t>
      </w:r>
      <w:r>
        <w:rPr>
          <w:rFonts w:ascii="Arial" w:cs="Arial" w:eastAsia="Arial" w:hAnsi="Arial"/>
          <w:b w:val="false"/>
          <w:bCs w:val="false"/>
          <w:i w:val="false"/>
          <w:iCs w:val="false"/>
          <w:color w:val="1A1A1A"/>
          <w:sz w:val="21"/>
          <w:szCs w:val="21"/>
        </w:rPr>
        <w:t xml:space="preserve"> im Sinne der KI-VO; die Betreiberpflichten (u. a. zweckkonforme Verwendung, menschliche Aufsicht) obliegen dem Kunden.</w:t>
      </w:r>
    </w:p>
    <w:p>
      <w:pPr>
        <w:pStyle w:val="Heading2"/>
        <w:keepNext/>
        <w:spacing w:after="80" w:before="160"/>
      </w:pPr>
      <w:r>
        <w:rPr>
          <w:rFonts w:ascii="Arial" w:cs="Arial" w:eastAsia="Arial" w:hAnsi="Arial"/>
          <w:b/>
          <w:bCs/>
          <w:i w:val="false"/>
          <w:iCs w:val="false"/>
          <w:color w:val="0B0B0F"/>
          <w:sz w:val="21"/>
          <w:szCs w:val="21"/>
        </w:rPr>
        <w:t xml:space="preserve">Agent 1</w:t>
      </w:r>
    </w:p>
    <w:p>
      <w:pPr>
        <w:spacing w:after="120"/>
      </w:pPr>
      <w:r>
        <w:rPr>
          <w:rFonts w:ascii="Arial" w:cs="Arial" w:eastAsia="Arial" w:hAnsi="Arial"/>
          <w:b/>
          <w:bCs/>
          <w:color w:val="1A1A1A"/>
          <w:sz w:val="21"/>
          <w:szCs w:val="21"/>
        </w:rPr>
        <w:t xml:space="preserve">Bezeichnung / Typ des Agenten: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Verbindlicher Einsatzzweck: </w:t>
      </w:r>
      <w:r>
        <w:rPr>
          <w:rFonts w:ascii="Arial" w:cs="Arial" w:eastAsia="Arial" w:hAnsi="Arial"/>
          <w:color w:val="6B7280"/>
          <w:sz w:val="21"/>
          <w:szCs w:val="21"/>
          <w:u w:val="single"/>
        </w:rPr>
        <w:t xml:space="preserve">                                                </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w:t>
      </w:r>
      <w:r>
        <w:rPr>
          <w:rFonts w:ascii="Arial" w:cs="Arial" w:eastAsia="Arial" w:hAnsi="Arial"/>
          <w:b/>
          <w:bCs/>
          <w:i w:val="false"/>
          <w:iCs w:val="false"/>
          <w:color w:val="1A1A1A"/>
          <w:sz w:val="21"/>
          <w:szCs w:val="21"/>
        </w:rPr>
        <w:t xml:space="preserve">KEIN Hochrisiko-Einsatz</w:t>
      </w:r>
      <w:r>
        <w:rPr>
          <w:rFonts w:ascii="Arial" w:cs="Arial" w:eastAsia="Arial" w:hAnsi="Arial"/>
          <w:b w:val="false"/>
          <w:bCs w:val="false"/>
          <w:i w:val="false"/>
          <w:iCs w:val="false"/>
          <w:color w:val="1A1A1A"/>
          <w:sz w:val="21"/>
          <w:szCs w:val="21"/>
        </w:rPr>
        <w:t xml:space="preserve"> nach Anhang III KI-VO.</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Rollenzuordnung KI-VO: </w:t>
      </w:r>
      <w:r>
        <w:rPr>
          <w:rFonts w:ascii="Arial" w:cs="Arial" w:eastAsia="Arial" w:hAnsi="Arial"/>
          <w:b/>
          <w:bCs/>
          <w:i w:val="false"/>
          <w:iCs w:val="false"/>
          <w:color w:val="1A1A1A"/>
          <w:sz w:val="21"/>
          <w:szCs w:val="21"/>
        </w:rPr>
        <w:t xml:space="preserve">NexAI = Anbieter</w:t>
      </w:r>
      <w:r>
        <w:rPr>
          <w:rFonts w:ascii="Arial" w:cs="Arial" w:eastAsia="Arial" w:hAnsi="Arial"/>
          <w:b w:val="false"/>
          <w:bCs w:val="false"/>
          <w:i w:val="false"/>
          <w:iCs w:val="false"/>
          <w:color w:val="1A1A1A"/>
          <w:sz w:val="21"/>
          <w:szCs w:val="21"/>
        </w:rPr>
        <w:t xml:space="preserve">, </w:t>
      </w:r>
      <w:r>
        <w:rPr>
          <w:rFonts w:ascii="Arial" w:cs="Arial" w:eastAsia="Arial" w:hAnsi="Arial"/>
          <w:b/>
          <w:bCs/>
          <w:i w:val="false"/>
          <w:iCs w:val="false"/>
          <w:color w:val="1A1A1A"/>
          <w:sz w:val="21"/>
          <w:szCs w:val="21"/>
        </w:rPr>
        <w:t xml:space="preserve">Kunde = Betreiber</w:t>
      </w:r>
      <w:r>
        <w:rPr>
          <w:rFonts w:ascii="Arial" w:cs="Arial" w:eastAsia="Arial" w:hAnsi="Arial"/>
          <w:b w:val="false"/>
          <w:bCs w:val="false"/>
          <w:i w:val="false"/>
          <w:iCs w:val="false"/>
          <w:color w:val="1A1A1A"/>
          <w:sz w:val="21"/>
          <w:szCs w:val="21"/>
        </w:rPr>
        <w:t xml:space="preserve">.</w:t>
      </w:r>
    </w:p>
    <w:p>
      <w:pPr>
        <w:pStyle w:val="Heading2"/>
        <w:keepNext/>
        <w:spacing w:after="80" w:before="160"/>
      </w:pPr>
      <w:r>
        <w:rPr>
          <w:rFonts w:ascii="Arial" w:cs="Arial" w:eastAsia="Arial" w:hAnsi="Arial"/>
          <w:b/>
          <w:bCs/>
          <w:i w:val="false"/>
          <w:iCs w:val="false"/>
          <w:color w:val="0B0B0F"/>
          <w:sz w:val="21"/>
          <w:szCs w:val="21"/>
        </w:rPr>
        <w:t xml:space="preserve">Agent 2</w:t>
      </w:r>
    </w:p>
    <w:p>
      <w:pPr>
        <w:spacing w:after="120"/>
      </w:pPr>
      <w:r>
        <w:rPr>
          <w:rFonts w:ascii="Arial" w:cs="Arial" w:eastAsia="Arial" w:hAnsi="Arial"/>
          <w:b/>
          <w:bCs/>
          <w:color w:val="1A1A1A"/>
          <w:sz w:val="21"/>
          <w:szCs w:val="21"/>
        </w:rPr>
        <w:t xml:space="preserve">Bezeichnung / Typ des Agenten: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Verbindlicher Einsatzzweck: </w:t>
      </w:r>
      <w:r>
        <w:rPr>
          <w:rFonts w:ascii="Arial" w:cs="Arial" w:eastAsia="Arial" w:hAnsi="Arial"/>
          <w:color w:val="6B7280"/>
          <w:sz w:val="21"/>
          <w:szCs w:val="21"/>
          <w:u w:val="single"/>
        </w:rPr>
        <w:t xml:space="preserve">                                                </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w:t>
      </w:r>
      <w:r>
        <w:rPr>
          <w:rFonts w:ascii="Arial" w:cs="Arial" w:eastAsia="Arial" w:hAnsi="Arial"/>
          <w:b/>
          <w:bCs/>
          <w:i w:val="false"/>
          <w:iCs w:val="false"/>
          <w:color w:val="1A1A1A"/>
          <w:sz w:val="21"/>
          <w:szCs w:val="21"/>
        </w:rPr>
        <w:t xml:space="preserve">KEIN Hochrisiko-Einsatz</w:t>
      </w:r>
      <w:r>
        <w:rPr>
          <w:rFonts w:ascii="Arial" w:cs="Arial" w:eastAsia="Arial" w:hAnsi="Arial"/>
          <w:b w:val="false"/>
          <w:bCs w:val="false"/>
          <w:i w:val="false"/>
          <w:iCs w:val="false"/>
          <w:color w:val="1A1A1A"/>
          <w:sz w:val="21"/>
          <w:szCs w:val="21"/>
        </w:rPr>
        <w:t xml:space="preserve"> nach Anhang III KI-VO.</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Rollenzuordnung KI-VO: </w:t>
      </w:r>
      <w:r>
        <w:rPr>
          <w:rFonts w:ascii="Arial" w:cs="Arial" w:eastAsia="Arial" w:hAnsi="Arial"/>
          <w:b/>
          <w:bCs/>
          <w:i w:val="false"/>
          <w:iCs w:val="false"/>
          <w:color w:val="1A1A1A"/>
          <w:sz w:val="21"/>
          <w:szCs w:val="21"/>
        </w:rPr>
        <w:t xml:space="preserve">NexAI = Anbieter</w:t>
      </w:r>
      <w:r>
        <w:rPr>
          <w:rFonts w:ascii="Arial" w:cs="Arial" w:eastAsia="Arial" w:hAnsi="Arial"/>
          <w:b w:val="false"/>
          <w:bCs w:val="false"/>
          <w:i w:val="false"/>
          <w:iCs w:val="false"/>
          <w:color w:val="1A1A1A"/>
          <w:sz w:val="21"/>
          <w:szCs w:val="21"/>
        </w:rPr>
        <w:t xml:space="preserve">, </w:t>
      </w:r>
      <w:r>
        <w:rPr>
          <w:rFonts w:ascii="Arial" w:cs="Arial" w:eastAsia="Arial" w:hAnsi="Arial"/>
          <w:b/>
          <w:bCs/>
          <w:i w:val="false"/>
          <w:iCs w:val="false"/>
          <w:color w:val="1A1A1A"/>
          <w:sz w:val="21"/>
          <w:szCs w:val="21"/>
        </w:rPr>
        <w:t xml:space="preserve">Kunde = Betreiber</w:t>
      </w:r>
      <w:r>
        <w:rPr>
          <w:rFonts w:ascii="Arial" w:cs="Arial" w:eastAsia="Arial" w:hAnsi="Arial"/>
          <w:b w:val="false"/>
          <w:bCs w:val="false"/>
          <w:i w:val="false"/>
          <w:iCs w:val="false"/>
          <w:color w:val="1A1A1A"/>
          <w:sz w:val="21"/>
          <w:szCs w:val="21"/>
        </w:rPr>
        <w:t xml:space="preserve">.</w:t>
      </w:r>
    </w:p>
    <w:p>
      <w:pPr>
        <w:pStyle w:val="Heading2"/>
        <w:keepNext/>
        <w:spacing w:after="80" w:before="160"/>
      </w:pPr>
      <w:r>
        <w:rPr>
          <w:rFonts w:ascii="Arial" w:cs="Arial" w:eastAsia="Arial" w:hAnsi="Arial"/>
          <w:b/>
          <w:bCs/>
          <w:i w:val="false"/>
          <w:iCs w:val="false"/>
          <w:color w:val="0B0B0F"/>
          <w:sz w:val="21"/>
          <w:szCs w:val="21"/>
        </w:rPr>
        <w:t xml:space="preserve">Agent 3</w:t>
      </w:r>
    </w:p>
    <w:p>
      <w:pPr>
        <w:spacing w:after="120"/>
      </w:pPr>
      <w:r>
        <w:rPr>
          <w:rFonts w:ascii="Arial" w:cs="Arial" w:eastAsia="Arial" w:hAnsi="Arial"/>
          <w:b/>
          <w:bCs/>
          <w:color w:val="1A1A1A"/>
          <w:sz w:val="21"/>
          <w:szCs w:val="21"/>
        </w:rPr>
        <w:t xml:space="preserve">Bezeichnung / Typ des Agenten: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Verbindlicher Einsatzzweck: </w:t>
      </w:r>
      <w:r>
        <w:rPr>
          <w:rFonts w:ascii="Arial" w:cs="Arial" w:eastAsia="Arial" w:hAnsi="Arial"/>
          <w:color w:val="6B7280"/>
          <w:sz w:val="21"/>
          <w:szCs w:val="21"/>
          <w:u w:val="single"/>
        </w:rPr>
        <w:t xml:space="preserve">                                                </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w:t>
      </w:r>
      <w:r>
        <w:rPr>
          <w:rFonts w:ascii="Arial" w:cs="Arial" w:eastAsia="Arial" w:hAnsi="Arial"/>
          <w:b/>
          <w:bCs/>
          <w:i w:val="false"/>
          <w:iCs w:val="false"/>
          <w:color w:val="1A1A1A"/>
          <w:sz w:val="21"/>
          <w:szCs w:val="21"/>
        </w:rPr>
        <w:t xml:space="preserve">KEIN Hochrisiko-Einsatz</w:t>
      </w:r>
      <w:r>
        <w:rPr>
          <w:rFonts w:ascii="Arial" w:cs="Arial" w:eastAsia="Arial" w:hAnsi="Arial"/>
          <w:b w:val="false"/>
          <w:bCs w:val="false"/>
          <w:i w:val="false"/>
          <w:iCs w:val="false"/>
          <w:color w:val="1A1A1A"/>
          <w:sz w:val="21"/>
          <w:szCs w:val="21"/>
        </w:rPr>
        <w:t xml:space="preserve"> nach Anhang III KI-VO.</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Rollenzuordnung KI-VO: </w:t>
      </w:r>
      <w:r>
        <w:rPr>
          <w:rFonts w:ascii="Arial" w:cs="Arial" w:eastAsia="Arial" w:hAnsi="Arial"/>
          <w:b/>
          <w:bCs/>
          <w:i w:val="false"/>
          <w:iCs w:val="false"/>
          <w:color w:val="1A1A1A"/>
          <w:sz w:val="21"/>
          <w:szCs w:val="21"/>
        </w:rPr>
        <w:t xml:space="preserve">NexAI = Anbieter</w:t>
      </w:r>
      <w:r>
        <w:rPr>
          <w:rFonts w:ascii="Arial" w:cs="Arial" w:eastAsia="Arial" w:hAnsi="Arial"/>
          <w:b w:val="false"/>
          <w:bCs w:val="false"/>
          <w:i w:val="false"/>
          <w:iCs w:val="false"/>
          <w:color w:val="1A1A1A"/>
          <w:sz w:val="21"/>
          <w:szCs w:val="21"/>
        </w:rPr>
        <w:t xml:space="preserve">, </w:t>
      </w:r>
      <w:r>
        <w:rPr>
          <w:rFonts w:ascii="Arial" w:cs="Arial" w:eastAsia="Arial" w:hAnsi="Arial"/>
          <w:b/>
          <w:bCs/>
          <w:i w:val="false"/>
          <w:iCs w:val="false"/>
          <w:color w:val="1A1A1A"/>
          <w:sz w:val="21"/>
          <w:szCs w:val="21"/>
        </w:rPr>
        <w:t xml:space="preserve">Kunde = Betreiber</w:t>
      </w:r>
      <w:r>
        <w:rPr>
          <w:rFonts w:ascii="Arial" w:cs="Arial" w:eastAsia="Arial" w:hAnsi="Arial"/>
          <w:b w:val="false"/>
          <w:bCs w:val="false"/>
          <w:i w:val="false"/>
          <w:iCs w:val="false"/>
          <w:color w:val="1A1A1A"/>
          <w:sz w:val="21"/>
          <w:szCs w:val="21"/>
        </w:rPr>
        <w:t xml:space="preserve">.</w:t>
      </w:r>
    </w:p>
    <w:p>
      <w:pPr>
        <w:spacing w:after="140" w:before="80"/>
      </w:pPr>
      <w:r>
        <w:rPr>
          <w:rFonts w:ascii="Arial" w:cs="Arial" w:eastAsia="Arial" w:hAnsi="Arial"/>
          <w:b w:val="false"/>
          <w:bCs w:val="false"/>
          <w:i/>
          <w:iCs/>
          <w:color w:val="6B7280"/>
          <w:sz w:val="18"/>
          <w:szCs w:val="18"/>
        </w:rPr>
        <w:t xml:space="preserve">Bei mehr als drei Agenten ist eine gleichlautende Fortsetzung als Beiblatt zu diesem Leistungsschein zu verwenden.</w:t>
      </w:r>
    </w:p>
    <w:p>
      <w:pPr>
        <w:spacing w:after="80"/>
      </w:pPr>
      <w:r>
        <w:rPr>
          <w:sz w:val="2"/>
          <w:szCs w:val="2"/>
        </w:rPr>
        <w:t xml:space="preserve"/>
      </w:r>
    </w:p>
    <w:p>
      <w:pPr>
        <w:pageBreakBefore/>
      </w:pPr>
      <w:r>
        <w:t xml:space="preserve"/>
      </w:r>
    </w:p>
    <w:p>
      <w:pPr>
        <w:pStyle w:val="Heading1"/>
        <w:keepNext/>
        <w:spacing w:after="100" w:before="260"/>
      </w:pPr>
      <w:r>
        <w:rPr>
          <w:rFonts w:ascii="Arial" w:cs="Arial" w:eastAsia="Arial" w:hAnsi="Arial"/>
          <w:b/>
          <w:bCs/>
          <w:color w:val="1F3A8A"/>
          <w:sz w:val="24"/>
          <w:szCs w:val="24"/>
        </w:rPr>
        <w:t xml:space="preserve">5.  </w:t>
      </w:r>
      <w:r>
        <w:rPr>
          <w:rFonts w:ascii="Arial" w:cs="Arial" w:eastAsia="Arial" w:hAnsi="Arial"/>
          <w:b/>
          <w:bCs/>
          <w:i w:val="false"/>
          <w:iCs w:val="false"/>
          <w:color w:val="0B0B0F"/>
          <w:sz w:val="24"/>
          <w:szCs w:val="24"/>
        </w:rPr>
        <w:t xml:space="preserve">Vergütung</w:t>
      </w:r>
    </w:p>
    <w:p>
      <w:pPr>
        <w:spacing w:after="120" w:line="276"/>
        <w:jc w:val="both"/>
      </w:pPr>
      <w:r>
        <w:rPr>
          <w:rFonts w:ascii="Arial" w:cs="Arial" w:eastAsia="Arial" w:hAnsi="Arial"/>
          <w:b w:val="false"/>
          <w:bCs w:val="false"/>
          <w:i w:val="false"/>
          <w:iCs w:val="false"/>
          <w:color w:val="1A1A1A"/>
          <w:sz w:val="21"/>
          <w:szCs w:val="21"/>
        </w:rPr>
        <w:t xml:space="preserve">Für die Ersteinrichtung fällt eine </w:t>
      </w:r>
      <w:r>
        <w:rPr>
          <w:rFonts w:ascii="Arial" w:cs="Arial" w:eastAsia="Arial" w:hAnsi="Arial"/>
          <w:b/>
          <w:bCs/>
          <w:i w:val="false"/>
          <w:iCs w:val="false"/>
          <w:color w:val="1A1A1A"/>
          <w:sz w:val="21"/>
          <w:szCs w:val="21"/>
        </w:rPr>
        <w:t xml:space="preserve">einmalige Einrichtungsgebühr</w:t>
      </w:r>
      <w:r>
        <w:rPr>
          <w:rFonts w:ascii="Arial" w:cs="Arial" w:eastAsia="Arial" w:hAnsi="Arial"/>
          <w:b w:val="false"/>
          <w:bCs w:val="false"/>
          <w:i w:val="false"/>
          <w:iCs w:val="false"/>
          <w:color w:val="1A1A1A"/>
          <w:sz w:val="21"/>
          <w:szCs w:val="21"/>
        </w:rPr>
        <w:t xml:space="preserve"> nur an, wenn sie in der nachstehenden Tabelle als einmalige Position eingetragen ist. Für Betriebsleistungen fällt der nachstehend vereinbarte monatliche </w:t>
      </w:r>
      <w:r>
        <w:rPr>
          <w:rFonts w:ascii="Arial" w:cs="Arial" w:eastAsia="Arial" w:hAnsi="Arial"/>
          <w:b/>
          <w:bCs/>
          <w:i w:val="false"/>
          <w:iCs w:val="false"/>
          <w:color w:val="1A1A1A"/>
          <w:sz w:val="21"/>
          <w:szCs w:val="21"/>
        </w:rPr>
        <w:t xml:space="preserve">oder</w:t>
      </w:r>
      <w:r>
        <w:rPr>
          <w:rFonts w:ascii="Arial" w:cs="Arial" w:eastAsia="Arial" w:hAnsi="Arial"/>
          <w:b w:val="false"/>
          <w:bCs w:val="false"/>
          <w:i w:val="false"/>
          <w:iCs w:val="false"/>
          <w:color w:val="1A1A1A"/>
          <w:sz w:val="21"/>
          <w:szCs w:val="21"/>
        </w:rPr>
        <w:t xml:space="preserve"> jährliche Beitrag an. Projektleistungen (insbesondere die Einrichtung von Anwendungen) werden, soweit beauftragt, gesondert und einmalig vergütet. Alle Beträge verstehen sich </w:t>
      </w:r>
      <w:r>
        <w:rPr>
          <w:rFonts w:ascii="Arial" w:cs="Arial" w:eastAsia="Arial" w:hAnsi="Arial"/>
          <w:b/>
          <w:bCs/>
          <w:i w:val="false"/>
          <w:iCs w:val="false"/>
          <w:color w:val="1A1A1A"/>
          <w:sz w:val="21"/>
          <w:szCs w:val="21"/>
        </w:rPr>
        <w:t xml:space="preserve">netto zzgl. der gesetzlichen Umsatzsteuer</w:t>
      </w:r>
      <w:r>
        <w:rPr>
          <w:rFonts w:ascii="Arial" w:cs="Arial" w:eastAsia="Arial" w:hAnsi="Arial"/>
          <w:b w:val="false"/>
          <w:bCs w:val="false"/>
          <w:i w:val="false"/>
          <w:iCs w:val="false"/>
          <w:color w:val="1A1A1A"/>
          <w:sz w:val="21"/>
          <w:szCs w:val="21"/>
        </w:rPr>
        <w:t xml:space="preserve">.</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3135"/>
        <w:gridCol w:w="3135"/>
        <w:gridCol w:w="3135"/>
      </w:tblGrid>
      <w:tr>
        <w:trPr>
          <w:tblHeader/>
        </w:trPr>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Position / Leistung</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Modell (monatlich / jährlich / einmalig)</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Netto-Betrag (EUR)</w:t>
            </w:r>
          </w:p>
        </w:tc>
      </w:tr>
      <w:tr>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r>
      <w:tr>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r>
      <w:tr>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r>
      <w:tr>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r>
      <w:tr>
        <w:tc>
          <w:tcPr>
            <w:tcW w:type="dxa" w:w="3135"/>
            <w:tcMar>
              <w:top w:type="dxa" w:w="60"/>
              <w:left w:type="dxa" w:w="90"/>
              <w:bottom w:type="dxa" w:w="60"/>
              <w:right w:type="dxa" w:w="90"/>
            </w:tcMar>
          </w:tcPr>
          <w:p>
            <w:pPr>
              <w:spacing w:after="0" w:line="264"/>
            </w:pPr>
            <w:r>
              <w:rPr>
                <w:rFonts w:ascii="Arial" w:cs="Arial" w:eastAsia="Arial" w:hAnsi="Arial"/>
                <w:b/>
                <w:bCs/>
                <w:i w:val="false"/>
                <w:iCs w:val="false"/>
                <w:color w:val="1A1A1A"/>
                <w:sz w:val="20"/>
                <w:szCs w:val="20"/>
              </w:rPr>
              <w:t xml:space="preserve">Summe (netto)</w:t>
            </w:r>
          </w:p>
        </w:tc>
        <w:tc>
          <w:tcPr>
            <w:tcW w:type="dxa" w:w="3135"/>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____ EUR</w:t>
            </w:r>
          </w:p>
        </w:tc>
      </w:tr>
    </w:tbl>
    <w:p>
      <w:pPr>
        <w:spacing w:after="120"/>
      </w:pPr>
      <w:r>
        <w:rPr>
          <w:sz w:val="2"/>
          <w:szCs w:val="2"/>
        </w:rPr>
        <w:t xml:space="preserve"/>
      </w:r>
    </w:p>
    <w:p>
      <w:pPr>
        <w:spacing w:after="120"/>
      </w:pPr>
      <w:r>
        <w:rPr>
          <w:rFonts w:ascii="Arial" w:cs="Arial" w:eastAsia="Arial" w:hAnsi="Arial"/>
          <w:b/>
          <w:bCs/>
          <w:color w:val="1A1A1A"/>
          <w:sz w:val="21"/>
          <w:szCs w:val="21"/>
        </w:rPr>
        <w:t xml:space="preserve">Abrechnungsturnus / Fälligkeit (z. B. monatlich im Voraus, jährlich im Voraus):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Umsatzsteuer: Regelbesteuerung; alle Preise netto zzgl. gesetzlicher USt. USt-IdNr. von NexAI: DE463741277.</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6.  </w:t>
      </w:r>
      <w:r>
        <w:rPr>
          <w:rFonts w:ascii="Arial" w:cs="Arial" w:eastAsia="Arial" w:hAnsi="Arial"/>
          <w:b/>
          <w:bCs/>
          <w:i w:val="false"/>
          <w:iCs w:val="false"/>
          <w:color w:val="0B0B0F"/>
          <w:sz w:val="24"/>
          <w:szCs w:val="24"/>
        </w:rPr>
        <w:t xml:space="preserve">Freikontingent und Mehrverbrauch (Overage)</w:t>
      </w:r>
    </w:p>
    <w:p>
      <w:pPr>
        <w:spacing w:after="120" w:line="276"/>
        <w:jc w:val="both"/>
      </w:pPr>
      <w:r>
        <w:rPr>
          <w:rFonts w:ascii="Arial" w:cs="Arial" w:eastAsia="Arial" w:hAnsi="Arial"/>
          <w:b w:val="false"/>
          <w:bCs w:val="false"/>
          <w:i w:val="false"/>
          <w:iCs w:val="false"/>
          <w:color w:val="1A1A1A"/>
          <w:sz w:val="21"/>
          <w:szCs w:val="21"/>
        </w:rPr>
        <w:t xml:space="preserve">Im Beitrag ist je Agent ein </w:t>
      </w:r>
      <w:r>
        <w:rPr>
          <w:rFonts w:ascii="Arial" w:cs="Arial" w:eastAsia="Arial" w:hAnsi="Arial"/>
          <w:b/>
          <w:bCs/>
          <w:i w:val="false"/>
          <w:iCs w:val="false"/>
          <w:color w:val="1A1A1A"/>
          <w:sz w:val="21"/>
          <w:szCs w:val="21"/>
        </w:rPr>
        <w:t xml:space="preserve">Freikontingent</w:t>
      </w:r>
      <w:r>
        <w:rPr>
          <w:rFonts w:ascii="Arial" w:cs="Arial" w:eastAsia="Arial" w:hAnsi="Arial"/>
          <w:b w:val="false"/>
          <w:bCs w:val="false"/>
          <w:i w:val="false"/>
          <w:iCs w:val="false"/>
          <w:color w:val="1A1A1A"/>
          <w:sz w:val="21"/>
          <w:szCs w:val="21"/>
        </w:rPr>
        <w:t xml:space="preserve"> enthalten. Darüber hinausgehender </w:t>
      </w:r>
      <w:r>
        <w:rPr>
          <w:rFonts w:ascii="Arial" w:cs="Arial" w:eastAsia="Arial" w:hAnsi="Arial"/>
          <w:b/>
          <w:bCs/>
          <w:i w:val="false"/>
          <w:iCs w:val="false"/>
          <w:color w:val="1A1A1A"/>
          <w:sz w:val="21"/>
          <w:szCs w:val="21"/>
        </w:rPr>
        <w:t xml:space="preserve">Mehrverbrauch (Overage)</w:t>
      </w:r>
      <w:r>
        <w:rPr>
          <w:rFonts w:ascii="Arial" w:cs="Arial" w:eastAsia="Arial" w:hAnsi="Arial"/>
          <w:b w:val="false"/>
          <w:bCs w:val="false"/>
          <w:i w:val="false"/>
          <w:iCs w:val="false"/>
          <w:color w:val="1A1A1A"/>
          <w:sz w:val="21"/>
          <w:szCs w:val="21"/>
        </w:rPr>
        <w:t xml:space="preserve"> wird zum nachstehenden Netto-Einheitspreis abgerechnet und mit dem Beitrag des Folgemonats in Rechnung gestellt. Auf Verlangen des Kunden wird ein Einzelverbindungsnachweis bereitgestellt.</w:t>
      </w:r>
    </w:p>
    <w:p>
      <w:pPr>
        <w:spacing w:after="120"/>
      </w:pPr>
      <w:r>
        <w:rPr>
          <w:rFonts w:ascii="Arial" w:cs="Arial" w:eastAsia="Arial" w:hAnsi="Arial"/>
          <w:b/>
          <w:bCs/>
          <w:color w:val="1A1A1A"/>
          <w:sz w:val="21"/>
          <w:szCs w:val="21"/>
        </w:rPr>
        <w:t xml:space="preserve">Freikontingent: </w:t>
      </w:r>
      <w:r>
        <w:rPr>
          <w:rFonts w:ascii="Arial" w:cs="Arial" w:eastAsia="Arial" w:hAnsi="Arial"/>
          <w:color w:val="1A1A1A"/>
          <w:sz w:val="21"/>
          <w:szCs w:val="21"/>
        </w:rPr>
        <w:t xml:space="preserve">____ Min./Monat</w:t>
      </w:r>
    </w:p>
    <w:p>
      <w:pPr>
        <w:spacing w:after="120"/>
      </w:pPr>
      <w:r>
        <w:rPr>
          <w:rFonts w:ascii="Arial" w:cs="Arial" w:eastAsia="Arial" w:hAnsi="Arial"/>
          <w:b/>
          <w:bCs/>
          <w:color w:val="1A1A1A"/>
          <w:sz w:val="21"/>
          <w:szCs w:val="21"/>
        </w:rPr>
        <w:t xml:space="preserve">Mehrverbrauch (Overage): </w:t>
      </w:r>
      <w:r>
        <w:rPr>
          <w:rFonts w:ascii="Arial" w:cs="Arial" w:eastAsia="Arial" w:hAnsi="Arial"/>
          <w:color w:val="1A1A1A"/>
          <w:sz w:val="21"/>
          <w:szCs w:val="21"/>
        </w:rPr>
        <w:t xml:space="preserve">____ EUR/Min. netto</w:t>
      </w:r>
    </w:p>
    <w:p>
      <w:pPr>
        <w:spacing w:after="120"/>
      </w:pPr>
      <w:r>
        <w:rPr>
          <w:rFonts w:ascii="Arial" w:cs="Arial" w:eastAsia="Arial" w:hAnsi="Arial"/>
          <w:b/>
          <w:bCs/>
          <w:color w:val="1A1A1A"/>
          <w:sz w:val="21"/>
          <w:szCs w:val="21"/>
        </w:rPr>
        <w:t xml:space="preserve">Weiteres Kontingent / Einheit (optional, z. B. Nachrichten/Kontakte): </w:t>
      </w:r>
      <w:r>
        <w:rPr>
          <w:rFonts w:ascii="Arial" w:cs="Arial" w:eastAsia="Arial" w:hAnsi="Arial"/>
          <w:color w:val="6B7280"/>
          <w:sz w:val="21"/>
          <w:szCs w:val="21"/>
          <w:u w:val="single"/>
        </w:rPr>
        <w:t xml:space="preserve">                                                </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Technisches EUR-Spend-Cap je Agent</w:t>
      </w:r>
    </w:p>
    <w:p>
      <w:pPr>
        <w:spacing w:after="120" w:line="276"/>
        <w:jc w:val="both"/>
      </w:pPr>
      <w:r>
        <w:rPr>
          <w:rFonts w:ascii="Arial" w:cs="Arial" w:eastAsia="Arial" w:hAnsi="Arial"/>
          <w:b w:val="false"/>
          <w:bCs w:val="false"/>
          <w:i w:val="false"/>
          <w:iCs w:val="false"/>
          <w:color w:val="1A1A1A"/>
          <w:sz w:val="21"/>
          <w:szCs w:val="21"/>
        </w:rPr>
        <w:t xml:space="preserve">Zur Kostenbegrenzung wird je Agent ein technisches Ausgabenlimit (EUR-Spend-Cap) hinterlegt. Bei Erreichen des Limits kann der Betrieb des betreffenden Agenten technisch gedrosselt oder ausgesetzt werden. Eine Anhebung des Limits bedarf einer dokumentierten Weisung des Kunden.</w:t>
      </w:r>
    </w:p>
    <w:p>
      <w:pPr>
        <w:spacing w:after="120"/>
      </w:pPr>
      <w:r>
        <w:rPr>
          <w:rFonts w:ascii="Arial" w:cs="Arial" w:eastAsia="Arial" w:hAnsi="Arial"/>
          <w:b/>
          <w:bCs/>
          <w:color w:val="1A1A1A"/>
          <w:sz w:val="21"/>
          <w:szCs w:val="21"/>
        </w:rPr>
        <w:t xml:space="preserve">EUR-Spend-Cap Agent 1: </w:t>
      </w:r>
      <w:r>
        <w:rPr>
          <w:rFonts w:ascii="Arial" w:cs="Arial" w:eastAsia="Arial" w:hAnsi="Arial"/>
          <w:color w:val="1A1A1A"/>
          <w:sz w:val="21"/>
          <w:szCs w:val="21"/>
        </w:rPr>
        <w:t xml:space="preserve">____ EUR/Monat</w:t>
      </w:r>
    </w:p>
    <w:p>
      <w:pPr>
        <w:spacing w:after="120"/>
      </w:pPr>
      <w:r>
        <w:rPr>
          <w:rFonts w:ascii="Arial" w:cs="Arial" w:eastAsia="Arial" w:hAnsi="Arial"/>
          <w:b/>
          <w:bCs/>
          <w:color w:val="1A1A1A"/>
          <w:sz w:val="21"/>
          <w:szCs w:val="21"/>
        </w:rPr>
        <w:t xml:space="preserve">EUR-Spend-Cap Agent 2: </w:t>
      </w:r>
      <w:r>
        <w:rPr>
          <w:rFonts w:ascii="Arial" w:cs="Arial" w:eastAsia="Arial" w:hAnsi="Arial"/>
          <w:color w:val="1A1A1A"/>
          <w:sz w:val="21"/>
          <w:szCs w:val="21"/>
        </w:rPr>
        <w:t xml:space="preserve">____ EUR/Monat</w:t>
      </w:r>
    </w:p>
    <w:p>
      <w:pPr>
        <w:spacing w:after="120"/>
      </w:pPr>
      <w:r>
        <w:rPr>
          <w:rFonts w:ascii="Arial" w:cs="Arial" w:eastAsia="Arial" w:hAnsi="Arial"/>
          <w:b/>
          <w:bCs/>
          <w:color w:val="1A1A1A"/>
          <w:sz w:val="21"/>
          <w:szCs w:val="21"/>
        </w:rPr>
        <w:t xml:space="preserve">EUR-Spend-Cap Agent 3: </w:t>
      </w:r>
      <w:r>
        <w:rPr>
          <w:rFonts w:ascii="Arial" w:cs="Arial" w:eastAsia="Arial" w:hAnsi="Arial"/>
          <w:color w:val="1A1A1A"/>
          <w:sz w:val="21"/>
          <w:szCs w:val="21"/>
        </w:rPr>
        <w:t xml:space="preserve">____ EUR/Monat</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8.  </w:t>
      </w:r>
      <w:r>
        <w:rPr>
          <w:rFonts w:ascii="Arial" w:cs="Arial" w:eastAsia="Arial" w:hAnsi="Arial"/>
          <w:b/>
          <w:bCs/>
          <w:i w:val="false"/>
          <w:iCs w:val="false"/>
          <w:color w:val="0B0B0F"/>
          <w:sz w:val="24"/>
          <w:szCs w:val="24"/>
        </w:rPr>
        <w:t xml:space="preserve">Zahlungsweise</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SEPA-Firmenlastschrift (B2B)</w:t>
      </w:r>
      <w:r>
        <w:rPr>
          <w:rFonts w:ascii="Arial" w:cs="Arial" w:eastAsia="Arial" w:hAnsi="Arial"/>
          <w:b w:val="false"/>
          <w:bCs w:val="false"/>
          <w:i w:val="false"/>
          <w:iCs w:val="false"/>
          <w:color w:val="1A1A1A"/>
          <w:sz w:val="21"/>
          <w:szCs w:val="21"/>
        </w:rPr>
        <w:t xml:space="preserve"> — ein gesondertes SEPA-Firmenlastschriftmandat wird erteilt.</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Überweisung</w:t>
      </w:r>
      <w:r>
        <w:rPr>
          <w:rFonts w:ascii="Arial" w:cs="Arial" w:eastAsia="Arial" w:hAnsi="Arial"/>
          <w:b w:val="false"/>
          <w:bCs w:val="false"/>
          <w:i w:val="false"/>
          <w:iCs w:val="false"/>
          <w:color w:val="1A1A1A"/>
          <w:sz w:val="21"/>
          <w:szCs w:val="21"/>
        </w:rPr>
        <w:t xml:space="preserve"> — Zahlung nach Rechnungserhalt innerhalb der im Rahmenvertrag / den AGB (B2B) genannten Frist.</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9.  </w:t>
      </w:r>
      <w:r>
        <w:rPr>
          <w:rFonts w:ascii="Arial" w:cs="Arial" w:eastAsia="Arial" w:hAnsi="Arial"/>
          <w:b/>
          <w:bCs/>
          <w:i w:val="false"/>
          <w:iCs w:val="false"/>
          <w:color w:val="0B0B0F"/>
          <w:sz w:val="24"/>
          <w:szCs w:val="24"/>
        </w:rPr>
        <w:t xml:space="preserve">Laufzeitmodell</w:t>
      </w:r>
    </w:p>
    <w:p>
      <w:pPr>
        <w:spacing w:after="120" w:line="276"/>
        <w:jc w:val="both"/>
      </w:pPr>
      <w:r>
        <w:rPr>
          <w:rFonts w:ascii="Arial" w:cs="Arial" w:eastAsia="Arial" w:hAnsi="Arial"/>
          <w:b w:val="false"/>
          <w:bCs w:val="false"/>
          <w:i w:val="false"/>
          <w:iCs w:val="false"/>
          <w:color w:val="1A1A1A"/>
          <w:sz w:val="21"/>
          <w:szCs w:val="21"/>
        </w:rPr>
        <w:t xml:space="preserve">Es ist genau eines der folgenden Modelle zu wählen.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Monatsmodell</w:t>
      </w:r>
      <w:r>
        <w:rPr>
          <w:rFonts w:ascii="Arial" w:cs="Arial" w:eastAsia="Arial" w:hAnsi="Arial"/>
          <w:b w:val="false"/>
          <w:bCs w:val="false"/>
          <w:i w:val="false"/>
          <w:iCs w:val="false"/>
          <w:color w:val="1A1A1A"/>
          <w:sz w:val="21"/>
          <w:szCs w:val="21"/>
        </w:rPr>
        <w:t xml:space="preserve"> — monatlich kündbar mit einer Frist von einem Monat zum Monatsende.</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Jahresmodell</w:t>
      </w:r>
      <w:r>
        <w:rPr>
          <w:rFonts w:ascii="Arial" w:cs="Arial" w:eastAsia="Arial" w:hAnsi="Arial"/>
          <w:b w:val="false"/>
          <w:bCs w:val="false"/>
          <w:i w:val="false"/>
          <w:iCs w:val="false"/>
          <w:color w:val="1A1A1A"/>
          <w:sz w:val="21"/>
          <w:szCs w:val="21"/>
        </w:rPr>
        <w:t xml:space="preserve"> — Mindestlaufzeit 12 Monate, keine anteilige Rückerstattung (der gewährte Rabatt ist Gegenleistung für die Bindung); Verlängerung um jeweils 12 Monate, Kündigung mit einer Frist von einem Monat zum Laufzeitende.</w:t>
      </w:r>
    </w:p>
    <w:p>
      <w:pPr>
        <w:spacing w:after="140" w:before="80"/>
      </w:pPr>
      <w:r>
        <w:rPr>
          <w:rFonts w:ascii="Arial" w:cs="Arial" w:eastAsia="Arial" w:hAnsi="Arial"/>
          <w:b w:val="false"/>
          <w:bCs w:val="false"/>
          <w:i/>
          <w:iCs/>
          <w:color w:val="6B7280"/>
          <w:sz w:val="18"/>
          <w:szCs w:val="18"/>
        </w:rPr>
        <w:t xml:space="preserve">Das Recht zur außerordentlichen Kündigung aus wichtigem Grund bleibt für beide Parteien unberührt.</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10.  </w:t>
      </w:r>
      <w:r>
        <w:rPr>
          <w:rFonts w:ascii="Arial" w:cs="Arial" w:eastAsia="Arial" w:hAnsi="Arial"/>
          <w:b/>
          <w:bCs/>
          <w:i w:val="false"/>
          <w:iCs w:val="false"/>
          <w:color w:val="0B0B0F"/>
          <w:sz w:val="24"/>
          <w:szCs w:val="24"/>
        </w:rPr>
        <w:t xml:space="preserve">Befugnisse der Agenten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Die Agenten geben </w:t>
      </w:r>
      <w:r>
        <w:rPr>
          <w:rFonts w:ascii="Arial" w:cs="Arial" w:eastAsia="Arial" w:hAnsi="Arial"/>
          <w:b/>
          <w:bCs/>
          <w:i w:val="false"/>
          <w:iCs w:val="false"/>
          <w:color w:val="1A1A1A"/>
          <w:sz w:val="21"/>
          <w:szCs w:val="21"/>
        </w:rPr>
        <w:t xml:space="preserve">KEINE rechtsverbindlichen Zusagen</w:t>
      </w:r>
      <w:r>
        <w:rPr>
          <w:rFonts w:ascii="Arial" w:cs="Arial" w:eastAsia="Arial" w:hAnsi="Arial"/>
          <w:b w:val="false"/>
          <w:bCs w:val="false"/>
          <w:i w:val="false"/>
          <w:iCs w:val="false"/>
          <w:color w:val="1A1A1A"/>
          <w:sz w:val="21"/>
          <w:szCs w:val="21"/>
        </w:rPr>
        <w:t xml:space="preserve"> ab (keine verbindlichen Preise, Bestellungen oder Vertragsabschlüsse). Sie sind auf </w:t>
      </w:r>
      <w:r>
        <w:rPr>
          <w:rFonts w:ascii="Arial" w:cs="Arial" w:eastAsia="Arial" w:hAnsi="Arial"/>
          <w:b/>
          <w:bCs/>
          <w:i w:val="false"/>
          <w:iCs w:val="false"/>
          <w:color w:val="1A1A1A"/>
          <w:sz w:val="21"/>
          <w:szCs w:val="21"/>
        </w:rPr>
        <w:t xml:space="preserve">Auskunft und Terminvereinbarung</w:t>
      </w:r>
      <w:r>
        <w:rPr>
          <w:rFonts w:ascii="Arial" w:cs="Arial" w:eastAsia="Arial" w:hAnsi="Arial"/>
          <w:b w:val="false"/>
          <w:bCs w:val="false"/>
          <w:i w:val="false"/>
          <w:iCs w:val="false"/>
          <w:color w:val="1A1A1A"/>
          <w:sz w:val="21"/>
          <w:szCs w:val="21"/>
        </w:rPr>
        <w:t xml:space="preserve"> beschränkt (</w:t>
      </w:r>
      <w:r>
        <w:rPr>
          <w:rFonts w:ascii="Arial" w:cs="Arial" w:eastAsia="Arial" w:hAnsi="Arial"/>
          <w:b/>
          <w:bCs/>
          <w:i w:val="false"/>
          <w:iCs w:val="false"/>
          <w:color w:val="1A1A1A"/>
          <w:sz w:val="21"/>
          <w:szCs w:val="21"/>
        </w:rPr>
        <w:t xml:space="preserve">keine Abschlussvollmacht</w:t>
      </w:r>
      <w:r>
        <w:rPr>
          <w:rFonts w:ascii="Arial" w:cs="Arial" w:eastAsia="Arial" w:hAnsi="Arial"/>
          <w:b w:val="false"/>
          <w:bCs w:val="false"/>
          <w:i w:val="false"/>
          <w:iCs w:val="false"/>
          <w:color w:val="1A1A1A"/>
          <w:sz w:val="21"/>
          <w:szCs w:val="21"/>
        </w:rPr>
        <w:t xml:space="preserve">).</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11.  </w:t>
      </w:r>
      <w:r>
        <w:rPr>
          <w:rFonts w:ascii="Arial" w:cs="Arial" w:eastAsia="Arial" w:hAnsi="Arial"/>
          <w:b/>
          <w:bCs/>
          <w:i w:val="false"/>
          <w:iCs w:val="false"/>
          <w:color w:val="0B0B0F"/>
          <w:sz w:val="24"/>
          <w:szCs w:val="24"/>
        </w:rPr>
        <w:t xml:space="preserve">KI-Transparenz und Aufzeichnung</w:t>
      </w:r>
    </w:p>
    <w:p>
      <w:pPr>
        <w:spacing w:after="120" w:line="276"/>
        <w:jc w:val="both"/>
      </w:pPr>
      <w:r>
        <w:rPr>
          <w:rFonts w:ascii="Arial" w:cs="Arial" w:eastAsia="Arial" w:hAnsi="Arial"/>
          <w:b w:val="false"/>
          <w:bCs w:val="false"/>
          <w:i w:val="false"/>
          <w:iCs w:val="false"/>
          <w:color w:val="1A1A1A"/>
          <w:sz w:val="21"/>
          <w:szCs w:val="21"/>
        </w:rPr>
        <w:t xml:space="preserve">Die </w:t>
      </w:r>
      <w:r>
        <w:rPr>
          <w:rFonts w:ascii="Arial" w:cs="Arial" w:eastAsia="Arial" w:hAnsi="Arial"/>
          <w:b/>
          <w:bCs/>
          <w:i w:val="false"/>
          <w:iCs w:val="false"/>
          <w:color w:val="1A1A1A"/>
          <w:sz w:val="21"/>
          <w:szCs w:val="21"/>
        </w:rPr>
        <w:t xml:space="preserve">KI-Kennzeichnung/Transparenzpflicht nach Art. 50 KI-VO</w:t>
      </w:r>
      <w:r>
        <w:rPr>
          <w:rFonts w:ascii="Arial" w:cs="Arial" w:eastAsia="Arial" w:hAnsi="Arial"/>
          <w:b w:val="false"/>
          <w:bCs w:val="false"/>
          <w:i w:val="false"/>
          <w:iCs w:val="false"/>
          <w:color w:val="1A1A1A"/>
          <w:sz w:val="21"/>
          <w:szCs w:val="21"/>
        </w:rPr>
        <w:t xml:space="preserve"> ist verbindlicher, nicht abschaltbarer Leistungsbestandteil: Endnutzer werden stets darauf hingewiesen, dass sie mit einem KI-System interagieren.</w:t>
      </w:r>
    </w:p>
    <w:p>
      <w:pPr>
        <w:spacing w:after="120" w:line="276"/>
        <w:jc w:val="both"/>
      </w:pPr>
      <w:r>
        <w:rPr>
          <w:rFonts w:ascii="Arial" w:cs="Arial" w:eastAsia="Arial" w:hAnsi="Arial"/>
          <w:b/>
          <w:bCs/>
          <w:i w:val="false"/>
          <w:iCs w:val="false"/>
          <w:color w:val="1A1A1A"/>
          <w:sz w:val="21"/>
          <w:szCs w:val="21"/>
        </w:rPr>
        <w:t xml:space="preserve">Aufzeichnung/Transkription</w:t>
      </w:r>
      <w:r>
        <w:rPr>
          <w:rFonts w:ascii="Arial" w:cs="Arial" w:eastAsia="Arial" w:hAnsi="Arial"/>
          <w:b w:val="false"/>
          <w:bCs w:val="false"/>
          <w:i w:val="false"/>
          <w:iCs w:val="false"/>
          <w:color w:val="1A1A1A"/>
          <w:sz w:val="21"/>
          <w:szCs w:val="21"/>
        </w:rPr>
        <w:t xml:space="preserve"> von Gesprächen ist </w:t>
      </w:r>
      <w:r>
        <w:rPr>
          <w:rFonts w:ascii="Arial" w:cs="Arial" w:eastAsia="Arial" w:hAnsi="Arial"/>
          <w:b/>
          <w:bCs/>
          <w:i w:val="false"/>
          <w:iCs w:val="false"/>
          <w:color w:val="1A1A1A"/>
          <w:sz w:val="21"/>
          <w:szCs w:val="21"/>
        </w:rPr>
        <w:t xml:space="preserve">standardmäßig deaktiviert</w:t>
      </w:r>
      <w:r>
        <w:rPr>
          <w:rFonts w:ascii="Arial" w:cs="Arial" w:eastAsia="Arial" w:hAnsi="Arial"/>
          <w:b w:val="false"/>
          <w:bCs w:val="false"/>
          <w:i w:val="false"/>
          <w:iCs w:val="false"/>
          <w:color w:val="1A1A1A"/>
          <w:sz w:val="21"/>
          <w:szCs w:val="21"/>
        </w:rPr>
        <w:t xml:space="preserve"> und wird nur auf dokumentierte Weisung des Kunden aktiviert. Bei aktivierter Aufzeichnung erfolgt zusätzlich zur KI-Ansage ein Aufzeichnungshinweis. Der Kunde ist für das Vorliegen einer tragfähigen Rechtsgrundlage der Aufzeichnung verantwortlich.</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Aufzeichnung/Transkription </w:t>
      </w:r>
      <w:r>
        <w:rPr>
          <w:rFonts w:ascii="Arial" w:cs="Arial" w:eastAsia="Arial" w:hAnsi="Arial"/>
          <w:b/>
          <w:bCs/>
          <w:i w:val="false"/>
          <w:iCs w:val="false"/>
          <w:color w:val="1A1A1A"/>
          <w:sz w:val="21"/>
          <w:szCs w:val="21"/>
        </w:rPr>
        <w:t xml:space="preserve">deaktiviert (Standard)</w:t>
      </w:r>
      <w:r>
        <w:rPr>
          <w:rFonts w:ascii="Arial" w:cs="Arial" w:eastAsia="Arial" w:hAnsi="Arial"/>
          <w:b w:val="false"/>
          <w:bCs w:val="false"/>
          <w:i w:val="false"/>
          <w:iCs w:val="false"/>
          <w:color w:val="1A1A1A"/>
          <w:sz w:val="21"/>
          <w:szCs w:val="21"/>
        </w:rPr>
        <w:t xml:space="preserve">.</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Aufzeichnung/Transkription </w:t>
      </w:r>
      <w:r>
        <w:rPr>
          <w:rFonts w:ascii="Arial" w:cs="Arial" w:eastAsia="Arial" w:hAnsi="Arial"/>
          <w:b/>
          <w:bCs/>
          <w:i w:val="false"/>
          <w:iCs w:val="false"/>
          <w:color w:val="1A1A1A"/>
          <w:sz w:val="21"/>
          <w:szCs w:val="21"/>
        </w:rPr>
        <w:t xml:space="preserve">auf Weisung aktiviert</w:t>
      </w:r>
      <w:r>
        <w:rPr>
          <w:rFonts w:ascii="Arial" w:cs="Arial" w:eastAsia="Arial" w:hAnsi="Arial"/>
          <w:b w:val="false"/>
          <w:bCs w:val="false"/>
          <w:i w:val="false"/>
          <w:iCs w:val="false"/>
          <w:color w:val="1A1A1A"/>
          <w:sz w:val="21"/>
          <w:szCs w:val="21"/>
        </w:rPr>
        <w:t xml:space="preserve"> (Pflicht-Ansage mit Aufzeichnungshinweis).</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12.  </w:t>
      </w:r>
      <w:r>
        <w:rPr>
          <w:rFonts w:ascii="Arial" w:cs="Arial" w:eastAsia="Arial" w:hAnsi="Arial"/>
          <w:b/>
          <w:bCs/>
          <w:i w:val="false"/>
          <w:iCs w:val="false"/>
          <w:color w:val="0B0B0F"/>
          <w:sz w:val="24"/>
          <w:szCs w:val="24"/>
        </w:rPr>
        <w:t xml:space="preserve">Rufnummern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Rufnummer(n) </w:t>
      </w:r>
      <w:r>
        <w:rPr>
          <w:rFonts w:ascii="Arial" w:cs="Arial" w:eastAsia="Arial" w:hAnsi="Arial"/>
          <w:b/>
          <w:bCs/>
          <w:i w:val="false"/>
          <w:iCs w:val="false"/>
          <w:color w:val="1A1A1A"/>
          <w:sz w:val="21"/>
          <w:szCs w:val="21"/>
        </w:rPr>
        <w:t xml:space="preserve">vom Kunden mitgebracht</w:t>
      </w:r>
      <w:r>
        <w:rPr>
          <w:rFonts w:ascii="Arial" w:cs="Arial" w:eastAsia="Arial" w:hAnsi="Arial"/>
          <w:b w:val="false"/>
          <w:bCs w:val="false"/>
          <w:i w:val="false"/>
          <w:iCs w:val="false"/>
          <w:color w:val="1A1A1A"/>
          <w:sz w:val="21"/>
          <w:szCs w:val="21"/>
        </w:rPr>
        <w:t xml:space="preserve"> (Kundeneigentum).</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Rufnummer(n) </w:t>
      </w:r>
      <w:r>
        <w:rPr>
          <w:rFonts w:ascii="Arial" w:cs="Arial" w:eastAsia="Arial" w:hAnsi="Arial"/>
          <w:b/>
          <w:bCs/>
          <w:i w:val="false"/>
          <w:iCs w:val="false"/>
          <w:color w:val="1A1A1A"/>
          <w:sz w:val="21"/>
          <w:szCs w:val="21"/>
        </w:rPr>
        <w:t xml:space="preserve">von NexAI gestellt</w:t>
      </w:r>
      <w:r>
        <w:rPr>
          <w:rFonts w:ascii="Arial" w:cs="Arial" w:eastAsia="Arial" w:hAnsi="Arial"/>
          <w:b w:val="false"/>
          <w:bCs w:val="false"/>
          <w:i w:val="false"/>
          <w:iCs w:val="false"/>
          <w:color w:val="1A1A1A"/>
          <w:sz w:val="21"/>
          <w:szCs w:val="21"/>
        </w:rPr>
        <w:t xml:space="preserve"> (Betriebsmittel; kein Herausgabeanspruch).</w:t>
      </w:r>
    </w:p>
    <w:p>
      <w:pPr>
        <w:spacing w:after="120"/>
      </w:pPr>
      <w:r>
        <w:rPr>
          <w:rFonts w:ascii="Arial" w:cs="Arial" w:eastAsia="Arial" w:hAnsi="Arial"/>
          <w:b/>
          <w:bCs/>
          <w:color w:val="1A1A1A"/>
          <w:sz w:val="21"/>
          <w:szCs w:val="21"/>
        </w:rPr>
        <w:t xml:space="preserve">Betroffene Rufnummer(n):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Registrierungsinhaber der Rufnummer(n): </w:t>
      </w:r>
      <w:r>
        <w:rPr>
          <w:rFonts w:ascii="Arial" w:cs="Arial" w:eastAsia="Arial" w:hAnsi="Arial"/>
          <w:color w:val="6B7280"/>
          <w:sz w:val="21"/>
          <w:szCs w:val="21"/>
          <w:u w:val="single"/>
        </w:rPr>
        <w:t xml:space="preserve">                                                </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13.  </w:t>
      </w:r>
      <w:r>
        <w:rPr>
          <w:rFonts w:ascii="Arial" w:cs="Arial" w:eastAsia="Arial" w:hAnsi="Arial"/>
          <w:b/>
          <w:bCs/>
          <w:i w:val="false"/>
          <w:iCs w:val="false"/>
          <w:color w:val="0B0B0F"/>
          <w:sz w:val="24"/>
          <w:szCs w:val="24"/>
        </w:rPr>
        <w:t xml:space="preserve">Notfall- und Rückfallkontakt</w:t>
      </w:r>
    </w:p>
    <w:p>
      <w:pPr>
        <w:spacing w:after="120"/>
      </w:pPr>
      <w:r>
        <w:rPr>
          <w:rFonts w:ascii="Arial" w:cs="Arial" w:eastAsia="Arial" w:hAnsi="Arial"/>
          <w:b/>
          <w:bCs/>
          <w:color w:val="1A1A1A"/>
          <w:sz w:val="21"/>
          <w:szCs w:val="21"/>
        </w:rPr>
        <w:t xml:space="preserve">Notfallkontakt (Name):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Notfallkontakt (Telefon / 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Optionale Rückfallnummer (Fallback bei Nichterreichbarkeit des Agenten): </w:t>
      </w:r>
      <w:r>
        <w:rPr>
          <w:rFonts w:ascii="Arial" w:cs="Arial" w:eastAsia="Arial" w:hAnsi="Arial"/>
          <w:color w:val="6B7280"/>
          <w:sz w:val="21"/>
          <w:szCs w:val="21"/>
          <w:u w:val="single"/>
        </w:rPr>
        <w:t xml:space="preserve">                                                </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14.  </w:t>
      </w:r>
      <w:r>
        <w:rPr>
          <w:rFonts w:ascii="Arial" w:cs="Arial" w:eastAsia="Arial" w:hAnsi="Arial"/>
          <w:b/>
          <w:bCs/>
          <w:i w:val="false"/>
          <w:iCs w:val="false"/>
          <w:color w:val="0B0B0F"/>
          <w:sz w:val="24"/>
          <w:szCs w:val="24"/>
        </w:rPr>
        <w:t xml:space="preserve">Einrichtung und Start</w:t>
      </w:r>
    </w:p>
    <w:p>
      <w:pPr>
        <w:spacing w:after="120"/>
      </w:pPr>
      <w:r>
        <w:rPr>
          <w:rFonts w:ascii="Arial" w:cs="Arial" w:eastAsia="Arial" w:hAnsi="Arial"/>
          <w:b/>
          <w:bCs/>
          <w:color w:val="1A1A1A"/>
          <w:sz w:val="21"/>
          <w:szCs w:val="21"/>
        </w:rPr>
        <w:t xml:space="preserve">Geplanter Einrichtungs-/Startzeitpunkt: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Übliche Einrichtungsdauer ab vollständiger Bereitstellung der erforderlichen Mitwirkung und Zugänge: 3–10 Werktage. Der genannte Zeitpunkt ist ein unverbindlicher Zielwert, kein Fixtermin im Sinne des § 323 Abs. 2 Nr. 2 BGB.</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15.  </w:t>
      </w:r>
      <w:r>
        <w:rPr>
          <w:rFonts w:ascii="Arial" w:cs="Arial" w:eastAsia="Arial" w:hAnsi="Arial"/>
          <w:b/>
          <w:bCs/>
          <w:i w:val="false"/>
          <w:iCs w:val="false"/>
          <w:color w:val="0B0B0F"/>
          <w:sz w:val="24"/>
          <w:szCs w:val="24"/>
        </w:rPr>
        <w:t xml:space="preserve">Optionale Ablösesumme (Prompt-Weiternutzung)</w:t>
      </w:r>
    </w:p>
    <w:p>
      <w:pPr>
        <w:spacing w:after="120" w:line="276"/>
        <w:jc w:val="both"/>
      </w:pPr>
      <w:r>
        <w:rPr>
          <w:rFonts w:ascii="Arial" w:cs="Arial" w:eastAsia="Arial" w:hAnsi="Arial"/>
          <w:b w:val="false"/>
          <w:bCs w:val="false"/>
          <w:i w:val="false"/>
          <w:iCs w:val="false"/>
          <w:color w:val="1A1A1A"/>
          <w:sz w:val="21"/>
          <w:szCs w:val="21"/>
        </w:rPr>
        <w:t xml:space="preserve">Optional kann eine einmalige Ablösesumme für die dauerhafte Weiternutzung der für den Kunden erstellten Prompts/Konfigurationen nach Vertragsende vereinbart werden. Ohne eine solche Vereinbarung besteht kein Anspruch auf Herausgabe oder Weiternutzung der Prompts/Konfigurationen.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Ablösesumme für dauerhafte Prompt-Weiternutzung nach Vertragsende </w:t>
      </w:r>
      <w:r>
        <w:rPr>
          <w:rFonts w:ascii="Arial" w:cs="Arial" w:eastAsia="Arial" w:hAnsi="Arial"/>
          <w:b/>
          <w:bCs/>
          <w:i w:val="false"/>
          <w:iCs w:val="false"/>
          <w:color w:val="1A1A1A"/>
          <w:sz w:val="21"/>
          <w:szCs w:val="21"/>
        </w:rPr>
        <w:t xml:space="preserve">vereinbart</w:t>
      </w:r>
      <w:r>
        <w:rPr>
          <w:rFonts w:ascii="Arial" w:cs="Arial" w:eastAsia="Arial" w:hAnsi="Arial"/>
          <w:b w:val="false"/>
          <w:bCs w:val="false"/>
          <w:i w:val="false"/>
          <w:iCs w:val="false"/>
          <w:color w:val="1A1A1A"/>
          <w:sz w:val="21"/>
          <w:szCs w:val="21"/>
        </w:rPr>
        <w:t xml:space="preserve">.</w:t>
      </w:r>
    </w:p>
    <w:p>
      <w:pPr>
        <w:spacing w:after="120"/>
      </w:pPr>
      <w:r>
        <w:rPr>
          <w:rFonts w:ascii="Arial" w:cs="Arial" w:eastAsia="Arial" w:hAnsi="Arial"/>
          <w:b/>
          <w:bCs/>
          <w:color w:val="1A1A1A"/>
          <w:sz w:val="21"/>
          <w:szCs w:val="21"/>
        </w:rPr>
        <w:t xml:space="preserve">Ablösesumme (netto): </w:t>
      </w:r>
      <w:r>
        <w:rPr>
          <w:rFonts w:ascii="Arial" w:cs="Arial" w:eastAsia="Arial" w:hAnsi="Arial"/>
          <w:color w:val="1A1A1A"/>
          <w:sz w:val="21"/>
          <w:szCs w:val="21"/>
        </w:rPr>
        <w:t xml:space="preserve">____ EUR</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16.  </w:t>
      </w:r>
      <w:r>
        <w:rPr>
          <w:rFonts w:ascii="Arial" w:cs="Arial" w:eastAsia="Arial" w:hAnsi="Arial"/>
          <w:b/>
          <w:bCs/>
          <w:i w:val="false"/>
          <w:iCs w:val="false"/>
          <w:color w:val="0B0B0F"/>
          <w:sz w:val="24"/>
          <w:szCs w:val="24"/>
        </w:rPr>
        <w:t xml:space="preserve">Schlussbestätigung</w:t>
      </w:r>
    </w:p>
    <w:p>
      <w:pPr>
        <w:spacing w:after="120" w:line="276"/>
        <w:jc w:val="both"/>
      </w:pPr>
      <w:r>
        <w:rPr>
          <w:rFonts w:ascii="Arial" w:cs="Arial" w:eastAsia="Arial" w:hAnsi="Arial"/>
          <w:b w:val="false"/>
          <w:bCs w:val="false"/>
          <w:i w:val="false"/>
          <w:iCs w:val="false"/>
          <w:color w:val="1A1A1A"/>
          <w:sz w:val="21"/>
          <w:szCs w:val="21"/>
        </w:rPr>
        <w:t xml:space="preserve">Die Parteien bestätigen die Richtigkeit der vorstehenden Angaben. Dieser Leistungsschein wird mit beidseitiger Unterzeichnung wirksam und ist Bestandteil des Rahmenvertrags.</w:t>
      </w:r>
    </w:p>
    <w:p>
      <w:pPr>
        <w:spacing w:after="16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p>
      <w:pPr>
        <w:spacing w:after="120"/>
      </w:pPr>
      <w:r>
        <w:rPr>
          <w:sz w:val="2"/>
          <w:szCs w:val="2"/>
        </w:rPr>
        <w:t xml:space="preserve"/>
      </w:r>
    </w:p>
    <w:p>
      <w:pPr>
        <w:spacing w:after="140" w:before="80"/>
      </w:pPr>
      <w:r>
        <w:rPr>
          <w:rFonts w:ascii="Arial" w:cs="Arial" w:eastAsia="Arial" w:hAnsi="Arial"/>
          <w:b w:val="false"/>
          <w:bCs w:val="false"/>
          <w:i/>
          <w:iCs/>
          <w:color w:val="6B7280"/>
          <w:sz w:val="18"/>
          <w:szCs w:val="18"/>
        </w:rPr>
        <w:t xml:space="preserve">Dieser Leistungsschein ist ein sorgfältig erstellter Entwurf und sollte für den konkreten Einzelfall anwaltlich geprüft werden.</w:t>
      </w:r>
    </w:p>
    <w:sectPr>
      <w:footerReference w:type="default" r:id="rId7"/>
      <w:pgSz w:w="11906" w:h="16838" w:orient="portrait"/>
      <w:pgMar w:top="1250" w:right="1250" w:bottom="125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4" w:space="6"/>
      </w:pBdr>
      <w:tabs>
        <w:tab w:val="right" w:pos="9406"/>
      </w:tabs>
    </w:pPr>
    <w:r>
      <w:rPr>
        <w:rFonts w:ascii="Arial" w:cs="Arial" w:eastAsia="Arial" w:hAnsi="Arial"/>
        <w:color w:val="6B7280"/>
        <w:sz w:val="15"/>
        <w:szCs w:val="15"/>
      </w:rPr>
      <w:t xml:space="preserve">NexAI – Next Generation Artificial Intelligence GbR</w:t>
    </w:r>
    <w:r>
      <w:rPr>
        <w:rFonts w:ascii="Arial" w:cs="Arial" w:eastAsia="Arial" w:hAnsi="Arial"/>
        <w:sz w:val="15"/>
        <w:szCs w:val="15"/>
      </w:rPr>
      <w:t xml:space="preserve">	</w:t>
    </w:r>
    <w:r>
      <w:rPr>
        <w:rFonts w:ascii="Arial" w:cs="Arial" w:eastAsia="Arial" w:hAnsi="Arial"/>
        <w:color w:val="6B7280"/>
        <w:sz w:val="15"/>
        <w:szCs w:val="15"/>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Auftragsformular / Leistungsschein</dc:title>
  <dc:creator>NexAI</dc:creator>
  <cp:lastModifiedBy>Un-named</cp:lastModifiedBy>
  <cp:revision>1</cp:revision>
  <dcterms:created xsi:type="dcterms:W3CDTF">2026-10-17T15:31:11.744Z</dcterms:created>
  <dcterms:modified xsi:type="dcterms:W3CDTF">2026-10-17T15:31:11.745Z</dcterms:modified>
</cp:coreProperties>
</file>

<file path=docProps/custom.xml><?xml version="1.0" encoding="utf-8"?>
<Properties xmlns="http://schemas.openxmlformats.org/officeDocument/2006/custom-properties" xmlns:vt="http://schemas.openxmlformats.org/officeDocument/2006/docPropsVTypes"/>
</file>