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A – Leistungsbeschreibung</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über die Bereitstellung und den Betrieb KI-gestützter digitaler Assistenten zwischen NexAI und dem Kunden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A (Leistungsbeschreibung) konkretisiert den Gegenstand und den Umfang der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(nachfolgend "NexAI"), gegenüber dem Kunden (nachfolgend "Kunde") erbrachten Leistungen. Sie ist Bestandteil des Rahmenvertrages und gilt nur in Verbindung mit dem jeweils unterzeichneten Auftragsformular/Leistungsschein.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den im Einzelfall geschuldeten Leistungsumfang sind ausschließlich das jeweils unterzeichnete </w:t>
      </w:r>
      <w:r>
        <w:rPr>
          <w:rFonts w:ascii="Arial" w:cs="Arial" w:eastAsia="Arial" w:hAnsi="Arial"/>
          <w:b/>
          <w:bCs/>
          <w:i w:val="false"/>
          <w:iCs w:val="false"/>
          <w:color w:val="1A1A1A"/>
          <w:sz w:val="21"/>
          <w:szCs w:val="21"/>
        </w:rPr>
        <w:t xml:space="preserve">Auftragsformular/Leistungsschein</w:t>
      </w:r>
      <w:r>
        <w:rPr>
          <w:rFonts w:ascii="Arial" w:cs="Arial" w:eastAsia="Arial" w:hAnsi="Arial"/>
          <w:b w:val="false"/>
          <w:bCs w:val="false"/>
          <w:i w:val="false"/>
          <w:iCs w:val="false"/>
          <w:color w:val="1A1A1A"/>
          <w:sz w:val="21"/>
          <w:szCs w:val="21"/>
        </w:rPr>
        <w:t xml:space="preserve"> in Verbindung mit dieser Anlage A. Diese Anlage beschreibt den möglichen Leistungskatalog; geschuldet ist nur, was im Auftragsformular ausdrücklich als beauftragt gekennzeichnet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Leistungen, die weder im Auftragsformular noch in dieser Anlage A ausdrücklich aufgeführt sind, sind </w:t>
      </w:r>
      <w:r>
        <w:rPr>
          <w:rFonts w:ascii="Arial" w:cs="Arial" w:eastAsia="Arial" w:hAnsi="Arial"/>
          <w:b/>
          <w:bCs/>
          <w:i w:val="false"/>
          <w:iCs w:val="false"/>
          <w:color w:val="1A1A1A"/>
          <w:sz w:val="21"/>
          <w:szCs w:val="21"/>
        </w:rPr>
        <w:t xml:space="preserve">nicht geschuldet</w:t>
      </w:r>
      <w:r>
        <w:rPr>
          <w:rFonts w:ascii="Arial" w:cs="Arial" w:eastAsia="Arial" w:hAnsi="Arial"/>
          <w:b w:val="false"/>
          <w:bCs w:val="false"/>
          <w:i w:val="false"/>
          <w:iCs w:val="false"/>
          <w:color w:val="1A1A1A"/>
          <w:sz w:val="21"/>
          <w:szCs w:val="21"/>
        </w:rPr>
        <w:t xml:space="preserve">. Sie können durch gesonderte schriftliche Vereinbarung (Change Request) beauftragt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Widersprüchen zwischen den Vertragsdokumenten gilt die im Rahmenvertrag festgelegte Rangfolge. Das Auftragsformular geht dieser Anlage A vor, soweit es abweichende oder ergänzende Festlegungen zum Leistungsumfang trifft.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dieser Anlage verwendeten definierten Begriffe (insbesondere "Agenten", "Anwendungen", "Endnutzer", "Projektleistungen", "Betriebsleistungen", "Freikontingent", "Mehrverbrauch", "Subunternehmer") haben die im Rahmenvertrag festgelegte Bedeutung.</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NexAI stellt dem Kunden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(KI-gestützte digitale Assistenten) und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(Softwareanwendungen wie NexAI CRM, NexAI Kalender, NexAI Mailagent und individuelle Anwendungen) bereit und betreibt diese oder überlässt sie als Kauflizenz (Anlage E). Die Leistungen gliedern sich in zwei rechtlich unterschiedlich einzuordnende Kategorien: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einmalige Werkleistungen mit definiertem Erfolg, insbesondere die Einrichtung und Bereitstellung von Anwendungen (Ziffer 5 sowie Ziffer 8, soweit dort Anwendungen entwickelt werden) sowie die Ersteinrichtung der Agenten (Ziffer 10). Es gilt Werkvertragsrecht; die Abnahme richtet sich nach Anlage D (Abnahmeprotokoll).</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 laufender Betrieb, Konfigurationspflege, Wartung, Hosting/Bereitstellung der erforderlichen Infrastruktur sowie Support der Agenten und der von NexAI betriebenen Anwendungen. Die rechtliche Einordnung richtet sich nach § 3 Abs. (2) des Rahmenvertrages; die Verfügbarkeit richtet sich nach Anlage C (SLA). Für Anwendungen, die als Kauflizenz überlassen werden, gilt Anlage E.</w:t>
      </w:r>
    </w:p>
    <w:p>
      <w:pPr>
        <w:spacing w:after="120" w:line="276"/>
        <w:jc w:val="both"/>
      </w:pPr>
      <w:r>
        <w:rPr>
          <w:rFonts w:ascii="Arial" w:cs="Arial" w:eastAsia="Arial" w:hAnsi="Arial"/>
          <w:b w:val="false"/>
          <w:bCs w:val="false"/>
          <w:i w:val="false"/>
          <w:iCs w:val="false"/>
          <w:color w:val="1A1A1A"/>
          <w:sz w:val="21"/>
          <w:szCs w:val="21"/>
        </w:rPr>
        <w:t xml:space="preserve">Welche der nachstehend in den Ziffern 3 bis 8 beschriebenen Agenten und Leistungen konkret beauftragt sind, ergibt sich aus dem Auftragsformular. Der jeweils in einem Modul enthaltene Funktionsumfang, das Freikontingent, der Netto-Einheitspreis für Mehrverbrauch (Overage) sowie etwaige mengen- oder verbrauchsabhängige Grenzen einschließlich eines technischen EUR-Spend-Caps je Agent werden im Auftragsformular festgelegt.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Sprachanrufe entgegen und interagiert im Rahmen der konfigurierten Wissensbasis und Dialoglogik mit Endnutzern.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Annahme eingehender Anrufe rund um die Uhr; ausgehende Anrufe sind derzeit nicht verfügbar und nur nach gesonderter Beauftragung möglich (§ 15 des Rahmenvertrages)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Beantwortung häufiger Fragen (FAQ) auf Grundlage der vom Kunden bereitgestellten Wissensbasis (Öffnungszeiten, Leistungen, Anfahrt, Konditionen und vergleichbare Auskünfte)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Vereinbaren, Verschieben und Absagen von Terminen unter Anbindung an das vom Kunden genutzte Kalender-/Buchungssystem, einschließlich Rückbestätigung des Termins (Read-Back) zur Vermeidung von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(Transfer) an eine vom Kunden benannte Rufnummer oder Durchwahl bei komplexen Anliegen oder auf Wunsch des Endnutzers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und Anliegen (Name, Kontaktdaten, Anliegen) sowie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Qualifizierung von Anliegen anhand vereinbarter Kriterien (z. B. Kategorisierung, Priorisierung, Weiterleitungslogik)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Aufnahme von Rückrufwünschen und Weitergabe von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Gesprächsführung nach Maßgabe der im Auftragsformular festgelegten Sprachen</w:t>
      </w:r>
    </w:p>
    <w:p>
      <w:pPr>
        <w:spacing w:after="140" w:before="80"/>
      </w:pPr>
      <w:r>
        <w:rPr>
          <w:rFonts w:ascii="Arial" w:cs="Arial" w:eastAsia="Arial" w:hAnsi="Arial"/>
          <w:b w:val="false"/>
          <w:bCs w:val="false"/>
          <w:i/>
          <w:iCs/>
          <w:color w:val="6B7280"/>
          <w:sz w:val="18"/>
          <w:szCs w:val="18"/>
        </w:rPr>
        <w:t xml:space="preserve">Zu Beginn jedes Gesprächs erfolgt die verpflichtende KI-Ansage nach Ziffer 11. Eine Tonaufzeichnung erfolgt standardmäßig nicht (Ziffer 12).</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textbasierte Dialoge über den Chat einer Website, eines Portals oder einer App und unterstützt Endnutzer im Rahmen der konfigurierten Wissensbasis und Dialoglogik.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Einbindung als Chat-Widget auf der Website oder in einer App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Beratung und Beantwortung von Fragen auf Grundlage der vom Kunden bereitgestellten Wissensbasis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Empfehlung passender Produkte, Leistungen oder Angebote im Rahmen unverbindlicher Auskünfte (keine verbindlichen Preis- oder Vertragszusagen, vgl. Ziffer 13)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(Name, Kontaktdaten, Anliegen) und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Terminvereinbarung unter Anbindung an das vom Kunden genutzte Kalender-/Buchungssystem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Suche in und Auskunft aus vom Kunden bereitgestellten Unterlagen und Dokumenten (z. B. Preislisten, Datenblätter, FAQ-Sammlungen)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an einen menschlichen Ansprechpartner oder Übergabe des Vorgangs bei komplexen Anliegen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Kommunikation nach Maßgabe der im Auftragsformular festgelegten Sprachen</w:t>
      </w:r>
    </w:p>
    <w:p>
      <w:pPr>
        <w:spacing w:after="140" w:before="80"/>
      </w:pPr>
      <w:r>
        <w:rPr>
          <w:rFonts w:ascii="Arial" w:cs="Arial" w:eastAsia="Arial" w:hAnsi="Arial"/>
          <w:b w:val="false"/>
          <w:bCs w:val="false"/>
          <w:i/>
          <w:iCs/>
          <w:color w:val="6B7280"/>
          <w:sz w:val="18"/>
          <w:szCs w:val="18"/>
        </w:rPr>
        <w:t xml:space="preserve">Der KI-Hinweis nach Ziffer 11 wird im Chat deutlich sichtbar ausgewiesen.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Anwendungen</w:t>
      </w:r>
    </w:p>
    <w:p>
      <w:pPr>
        <w:spacing w:after="120" w:line="276"/>
        <w:jc w:val="both"/>
      </w:pPr>
      <w:r>
        <w:rPr>
          <w:rFonts w:ascii="Arial" w:cs="Arial" w:eastAsia="Arial" w:hAnsi="Arial"/>
          <w:b w:val="false"/>
          <w:bCs w:val="false"/>
          <w:i w:val="false"/>
          <w:iCs w:val="false"/>
          <w:color w:val="1A1A1A"/>
          <w:sz w:val="21"/>
          <w:szCs w:val="21"/>
        </w:rPr>
        <w:t xml:space="preserve">Die nachstehenden Anwendungen stellt NexAI bereit, soweit sie im Auftragsformular beauftragt sind. Ihre Einrichtung ist eine Projektleistung (Ziffer 2 Abs. (1)); ihr Betrieb durch NexAI ist eine Betriebsleistung. Für die Kauflizenz und für Projektanwendungen zum Festpreis gilt ergänzend Anlage E.</w:t>
      </w:r>
    </w:p>
    <w:p>
      <w:pPr>
        <w:pStyle w:val="Heading2"/>
        <w:keepNext/>
        <w:spacing w:after="80" w:before="160"/>
      </w:pPr>
      <w:r>
        <w:rPr>
          <w:rFonts w:ascii="Arial" w:cs="Arial" w:eastAsia="Arial" w:hAnsi="Arial"/>
          <w:b/>
          <w:bCs/>
          <w:i w:val="false"/>
          <w:iCs w:val="false"/>
          <w:color w:val="0B0B0F"/>
          <w:sz w:val="21"/>
          <w:szCs w:val="21"/>
        </w:rPr>
        <w:t xml:space="preserve">5.1 NexAI CRM (Kundensystem)</w:t>
      </w:r>
    </w:p>
    <w:p>
      <w:pPr>
        <w:spacing w:after="120" w:line="276"/>
        <w:jc w:val="both"/>
      </w:pPr>
      <w:r>
        <w:rPr>
          <w:rFonts w:ascii="Arial" w:cs="Arial" w:eastAsia="Arial" w:hAnsi="Arial"/>
          <w:b w:val="false"/>
          <w:bCs w:val="false"/>
          <w:i w:val="false"/>
          <w:iCs w:val="false"/>
          <w:color w:val="1A1A1A"/>
          <w:sz w:val="21"/>
          <w:szCs w:val="21"/>
        </w:rPr>
        <w:t xml:space="preserve">Das NexAI CRM ist eine Softwareanwendung zur Verwaltung von Kontakten, Unternehmen, Anfragen und Vorgängen des Kunden. Es wird dem Kunden als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zum Betrieb auf seiner eigenen Infrastruktur überlassen (Anlage E); ein Betrieb durch NexAI erfolgt nur, wenn er im Auftragsformular gesondert vereinbart ist.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Kontakten und Unternehmen einschließlich Notizen, Dateianhängen und Änderungshistorie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Anfragen (Leads) aus den angebundenen Kanälen, insbesondere aus den beauftragten Agenten und aus Formularen der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Dokumentation von Anrufen einschließlich Gesprächsprotokoll, soweit der Voice Agent beauftragt und die Übergabe eingerichtet ist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Aufgaben mit Fälligkeit und automatischer Erinnerung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Abbildung von Verkaufschancen in konfigurierbaren Phasen (Pipelines)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Auswertungen und Berichte mit Ausgabe als Tabelle (CSV) und als PDF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Benutzerkonten mit Rollen- und Rechteverwaltung sowie Anmeldung mit zweitem Faktor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Funktionen zur Wahrnehmung von Betroffenenrechten und zur Einhaltung von Löschfristen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Rechnungsstellung einschließlich elektronischer Rechnungen (ZUGFeRD/XRechnung) und Ausgabe von Buchungsdaten im DATEV-Format, soweit im Auftragsformular vereinbart und für den Kunden freigeschaltet</w:t>
      </w:r>
    </w:p>
    <w:p>
      <w:pPr>
        <w:spacing w:after="140" w:before="80"/>
      </w:pPr>
      <w:r>
        <w:rPr>
          <w:rFonts w:ascii="Arial" w:cs="Arial" w:eastAsia="Arial" w:hAnsi="Arial"/>
          <w:b w:val="false"/>
          <w:bCs w:val="false"/>
          <w:i/>
          <w:iCs/>
          <w:color w:val="6B7280"/>
          <w:sz w:val="18"/>
          <w:szCs w:val="18"/>
        </w:rPr>
        <w:t xml:space="preserve">Bei der Kauflizenz betreibt der Kunde das NexAI CRM auf seiner eigenen Infrastruktur (Anlage E). Bei Betrieb durch NexAI läuft es auf Servern in Deutschland (Anlage B, Anhang 2); die Daten verschiedener Kunden sind technisch voneinander getrennt. Für die Richtigkeit und Aktualität der eingegebenen Daten sowie für die Vergabe der Zugriffsrechte innerhalb seines Bereichs ist der Kunde verantwortlich. Die Übernahme von Daten aus einem Vorsystem ist nur geschuldet, soweit sie im Auftragsformular ausdrücklich vereinbart ist (Ziffer 14).</w:t>
      </w:r>
    </w:p>
    <w:p>
      <w:pPr>
        <w:pStyle w:val="Heading2"/>
        <w:keepNext/>
        <w:spacing w:after="80" w:before="160"/>
      </w:pPr>
      <w:r>
        <w:rPr>
          <w:rFonts w:ascii="Arial" w:cs="Arial" w:eastAsia="Arial" w:hAnsi="Arial"/>
          <w:b/>
          <w:bCs/>
          <w:i w:val="false"/>
          <w:iCs w:val="false"/>
          <w:color w:val="0B0B0F"/>
          <w:sz w:val="21"/>
          <w:szCs w:val="21"/>
        </w:rPr>
        <w:t xml:space="preserve">5.2 NexAI Kalender (Online-Terminbuchung)</w:t>
      </w:r>
    </w:p>
    <w:p>
      <w:pPr>
        <w:spacing w:after="120" w:line="276"/>
        <w:jc w:val="both"/>
      </w:pPr>
      <w:r>
        <w:rPr>
          <w:rFonts w:ascii="Arial" w:cs="Arial" w:eastAsia="Arial" w:hAnsi="Arial"/>
          <w:b w:val="false"/>
          <w:bCs w:val="false"/>
          <w:i w:val="false"/>
          <w:iCs w:val="false"/>
          <w:color w:val="1A1A1A"/>
          <w:sz w:val="21"/>
          <w:szCs w:val="21"/>
        </w:rPr>
        <w:t xml:space="preserve">Der NexAI Kalender ist eine von NexAI bereitgestellte und betriebene Softwareanwendung. Endnutzer buchen darüber selbst Termine beim Kunden; der Kunde verwaltet darin seine Termine.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Öffentliche Buchungsseite mit Auswahl von Leistung, Datum und Uhrzeit, erreichbar über einen Link oder eingebettet in die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Belegung des gewählten Termins bereits während des Ausfüllens (Reservierung) sowie technische Absicherung gegen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von Bestätigungen und Erinnerungen per E-Mail und/oder SMS nach Maßgabe des Auftragsformulars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der Termine in Tages-, Wochen-, Monats- und Listenansicht einschließlich Verschieben, Absagen und Sperrzeiten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Leistungen, Öffnungszeiten, Pausen, Urlaub und Feiertagen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Kundenkartei mit Terminverlauf und Notizen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Bereitstellung als installierbare Anwendung auf Mobilgerät und Rechner einschließlich 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Abonnement der Termine in einem Kalender des Kunden (einseitige Übernahme)</w:t>
      </w:r>
    </w:p>
    <w:p>
      <w:pPr>
        <w:spacing w:after="140" w:before="80"/>
      </w:pPr>
      <w:r>
        <w:rPr>
          <w:rFonts w:ascii="Arial" w:cs="Arial" w:eastAsia="Arial" w:hAnsi="Arial"/>
          <w:b w:val="false"/>
          <w:bCs w:val="false"/>
          <w:i/>
          <w:iCs/>
          <w:color w:val="6B7280"/>
          <w:sz w:val="18"/>
          <w:szCs w:val="18"/>
        </w:rPr>
        <w:t xml:space="preserve">Der Versand von SMS erfolgt über einen Unterauftragsverarbeiter (Anlage B, Anhang 2) und wird, soweit im Auftragsformular vereinbart, mengenabhängig vergütet. Die Anzeige der Rufnummer des Kunden als Absender setzt deren Verifizierung beim Versanddienstleister voraus; diese Mitwirkung obliegt dem Kunden. Für die Richtigkeit der hinterlegten Leistungen, Preise und Öffnungszeiten ist der Kunde verantwortlich.</w:t>
      </w:r>
    </w:p>
    <w:p>
      <w:pPr>
        <w:pStyle w:val="Heading2"/>
        <w:keepNext/>
        <w:spacing w:after="80" w:before="160"/>
      </w:pPr>
      <w:r>
        <w:rPr>
          <w:rFonts w:ascii="Arial" w:cs="Arial" w:eastAsia="Arial" w:hAnsi="Arial"/>
          <w:b/>
          <w:bCs/>
          <w:i w:val="false"/>
          <w:iCs w:val="false"/>
          <w:color w:val="0B0B0F"/>
          <w:sz w:val="21"/>
          <w:szCs w:val="21"/>
        </w:rPr>
        <w:t xml:space="preserve">5.3 NexAI App (individuelle Anwendung)</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eine individuelle Anwendung, die im Namen und im Erscheinungsbild des Kunden auftritt und von Endnutzern auf Mobilgerät und Rechner installiert werden kann. Der Funktionsumfang wird je Projekt festgelegt und umfasst – soweit vereinbart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Kundenportal (z. B. Aufträge, Rechnungen, Dokumente, Statusanzeige)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 für Beschäftigte des Kunden (z. B. Aufgaben, interne Nachrichten, Belegerfassung)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Buchungs- und Terminfunktionen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beauftragten Agenten und Anwendungen sowie an Systeme des Kunden über verfügbare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Gestaltung im Erscheinungsbild des Kunden (Name, Logo, Farben)</w:t>
      </w:r>
    </w:p>
    <w:p>
      <w:pPr>
        <w:spacing w:after="140" w:before="80"/>
      </w:pPr>
      <w:r>
        <w:rPr>
          <w:rFonts w:ascii="Arial" w:cs="Arial" w:eastAsia="Arial" w:hAnsi="Arial"/>
          <w:b w:val="false"/>
          <w:bCs w:val="false"/>
          <w:i/>
          <w:iCs/>
          <w:color w:val="6B7280"/>
          <w:sz w:val="18"/>
          <w:szCs w:val="18"/>
        </w:rPr>
        <w:t xml:space="preserve">Die Anwendung wird als installierbare Web-Anwendung bereitgestellt; eine Veröffentlichung in den App-Stores von Apple oder Google ist nicht geschuldet (Ziffer 14). Der konkrete Leistungsumfang, die einzubindenden Systeme sowie etwaige Abnahmekriterien werden im Auftragsformular oder in einer gesonderten Leistungsbeschreibung je Projekt festgelegt und sind als solche Bestandteil dieser Anlage A. Enthält die Anwendung KI-gestützte Funktionen, gelten die Ziffern 11 bis 13 entsprechend. Für Festpreis, Nutzungsrecht, Betrieb und Pflege gilt Anlage E Ziffer 8.</w:t>
      </w:r>
    </w:p>
    <w:p>
      <w:pPr>
        <w:pStyle w:val="Heading2"/>
        <w:keepNext/>
        <w:spacing w:after="80" w:before="160"/>
      </w:pPr>
      <w:r>
        <w:rPr>
          <w:rFonts w:ascii="Arial" w:cs="Arial" w:eastAsia="Arial" w:hAnsi="Arial"/>
          <w:b/>
          <w:bCs/>
          <w:i w:val="false"/>
          <w:iCs w:val="false"/>
          <w:color w:val="0B0B0F"/>
          <w:sz w:val="21"/>
          <w:szCs w:val="21"/>
        </w:rPr>
        <w:t xml:space="preserve">5.4 NexAI Mailagent (Postfachassistent)</w:t>
      </w:r>
    </w:p>
    <w:p>
      <w:pPr>
        <w:spacing w:after="120" w:line="276"/>
        <w:jc w:val="both"/>
      </w:pPr>
      <w:r>
        <w:rPr>
          <w:rFonts w:ascii="Arial" w:cs="Arial" w:eastAsia="Arial" w:hAnsi="Arial"/>
          <w:b w:val="false"/>
          <w:bCs w:val="false"/>
          <w:i w:val="false"/>
          <w:iCs w:val="false"/>
          <w:color w:val="1A1A1A"/>
          <w:sz w:val="21"/>
          <w:szCs w:val="21"/>
        </w:rPr>
        <w:t xml:space="preserve">Der NexAI Mailagent ist eine von NexAI bereitgestellte und betriebene Softwareanwendung, die die im Auftragsformular benannten E-Mail-Postfächer des Kunden spiegelt, eingehende Nachrichten einstuft und Antwortentwürfe zur Freigabe durch den Kunden vorlegt.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Spiegelung der benannten Postfächer (Anbindung nach Absatz (8))</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Einstufung jeder eingehenden Nachricht nach Art und Dringlichkeit sowie Kurzfassung ihres Inhalts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Erkennung von Fristen und Terminwünschen mit Übernahme in eine Wiedervorlage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Erkennung von Rechnungen und Mahnungen einschließlich Betrag, Fälligkeit und Gläubiger sowie Übersicht der offenen Forderungen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Prüfung jeder Nachricht auf Betrugsmerkmale, insbesondere auf eine geänderte Bankverbindung eines bereits bekannten Absenders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Antwortentwürfen auf Grundlage der vom Kunden bereitgestellten Hausregeln, Signaturen, Antwortvorlagen und des Faktenverzeichnisses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Kennzeichnung fehlender Angaben im Entwurf als offene Lücke; fehlende Angaben werden nicht ergänzt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Freigeben, Ändern oder Verwerfen von Entwürfen durch die im Auftragsformular benannten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Protokollierung jeder Freigabe mit Person, Zeitpunkt, Betreff, Wortlaut und Prüfsumme in einer verketteten Form, die nachträgliche Änderungen erkennbar macht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Freigabe durch zwei Personen (Vier-Augen-Prinzip) nach den im Auftragsformular festgelegten Schwellen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Zuweisung von Nachrichten an Personen des Kunden, jeweils begrenzt auf die für diese Person freigegebenen Postfächer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Volltextsuche im gespiegelten Bestand und Auskunft aus diesem Bestand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 von Textinhalten aus PDF-Anhängen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Monatliche Auswertung über Aufkommen, Bearbeitung und Modellverbrauch</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Kostendeckel für den Modellverbrauch mit Warnung bei Erreichen von achtzig Prozent und Einstellung der Einstufung bei Erreichen des Deckels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Durchsetzung der Aufbewahrungsfristen nach Absatz (10) durch einen täglichen Löschlauf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Erzeugung des Verarbeitungsverzeichnisses, der Anlage zu den technischen und organisatorischen Maßnahmen und eines Prüfberichts aus der jeweils laufenden Einrichtung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Verarbeitung der Modellanfragen nach Ziffer 3.3 des Auftragsformulars</w:t>
      </w:r>
    </w:p>
    <w:p>
      <w:pPr>
        <w:spacing w:after="120" w:line="276"/>
        <w:jc w:val="both"/>
      </w:pPr>
      <w:r>
        <w:rPr>
          <w:rFonts w:ascii="Arial" w:cs="Arial" w:eastAsia="Arial" w:hAnsi="Arial"/>
          <w:b w:val="false"/>
          <w:bCs w:val="false"/>
          <w:i w:val="false"/>
          <w:iCs w:val="false"/>
          <w:color w:val="1A1A1A"/>
          <w:sz w:val="21"/>
          <w:szCs w:val="21"/>
        </w:rPr>
        <w:t xml:space="preserve">Ergänzend gilt für den Mailagenten: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Versand.</w:t>
      </w:r>
      <w:r>
        <w:rPr>
          <w:rFonts w:ascii="Arial" w:cs="Arial" w:eastAsia="Arial" w:hAnsi="Arial"/>
          <w:b w:val="false"/>
          <w:bCs w:val="false"/>
          <w:i w:val="false"/>
          <w:iCs w:val="false"/>
          <w:color w:val="1A1A1A"/>
          <w:sz w:val="21"/>
          <w:szCs w:val="21"/>
        </w:rPr>
        <w:t xml:space="preserve"> Antworten an Dritte versendet der Mailagent nur nach Freigabe durch eine natürliche Person des Kunden. Ausgenommen sind Antworten auf Nachrichten von Absendern, deren Adresse eine Person mit der Rolle Verwaltung in der Anwendung auf die Freigabeliste setzt (selbsttätiger Versand). Jede solche Eintragung ist eine gesonderte Vereinbarung der Parteien im Sinne von § 6 Abs. (2) des Rahmenvertrages über den selbsttätigen Versand an diese Adresse; NexAI nimmt sie bereits mit diesem Vertrag an. Zugleich ist sie eine dokumentierte Weisung im Sinne von Anlage B. Die Anwendung hält Person und Zeitpunkt jeder Eintragung fest; die Verwaltung kann eine Eintragung jederzeit zurücknehmen. Der Kunde stellt sicher, dass die Rolle Verwaltung nur Personen erhalten, die ihn insoweit vertreten dürfen. Selbsttätig versendet der Mailagent nur, wenn der Entwurf keine offene Lücke, Rückfrage, Warnung oder Platzhalter enthält, der Absender nicht als auffällig eingestuft ist, kein Versuch einer Anweisung an die Anwendung erkannt wurde und die Antwort nach den Freigaberegeln keine Freigabe durch zwei Personen erfordert. Solche Antworten tragen den Hinweis nach Absatz (6) und sind Erklärungen des Kunden (§ 6 Abs. (3) des Rahmenvertrages); Signaturen und Hinweise darin enthalten keine Werbung. [Von Max zu entscheiden: Für ihren Inhalt ist im Verhältnis der Parteien der Kunde verantwortlich, soweit der Mailagent die vorstehenden Sicherungen eingehalten hat; im Übrigen haftet NexAI nach § 12 des Rahmenvertrages.] Systemnachrichten der Anwendung, insbesondere Anmeldelinks und Buchungsmeldungen an NexAI, sind keine Antworten im Sinne dieses Absatzes.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Inhalte eingehender Nachrichten werden ausschließlich als Daten verarbeitet, nicht als Anweisung an die Anwendung. Enthält eine Nachricht eine Handlungsaufforderung, insbesondere eine Weiterleitungs- oder Zahlungsanweisung, wird diese nicht ausgeführt, sondern dem Kunden angezeigt.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Antworten werden ausschließlich an Adressen aus dem jeweiligen Nachrichtenverlauf oder an eine vom Kunden benannte Adresse versendet. Adressen, die lediglich im Text einer Nachricht stehen, werden nicht verwendet.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Mailagent löscht keine Nachrichten in den Postfächern des Kunden. Er kann Nachrichten in einen Archivordner verschieben, soweit der Kunde diese Funktion eingeschaltet lässt; ein solches Verschieben ist umkehrbar. Der Mailagent versendet keine Werbung und keine Kaltakquise und ersetzt kein Ticketsystem.</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Aus Anhängen werden Textinhalte nur aus PDF-Dateien ausgewertet. Textverarbeitungs- und Tabellendateien, insbesondere Word und Excel, werden nicht ausgewertet.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KI-Kennzeichnung.</w:t>
      </w:r>
      <w:r>
        <w:rPr>
          <w:rFonts w:ascii="Arial" w:cs="Arial" w:eastAsia="Arial" w:hAnsi="Arial"/>
          <w:b w:val="false"/>
          <w:bCs w:val="false"/>
          <w:i w:val="false"/>
          <w:iCs w:val="false"/>
          <w:color w:val="1A1A1A"/>
          <w:sz w:val="21"/>
          <w:szCs w:val="21"/>
        </w:rPr>
        <w:t xml:space="preserve"> Jede vom Mailagenten erstellte Nachricht trägt eine maschinenlesbare KI-Kennzeichnung im Nachrichtenkopf. Selbsttätig versandte Nachrichten (Absatz (1) Satz 2) tragen zusätzlich einen sichtbaren, nicht abschaltbaren Hinweis auf den Versand ohne menschliche Prüfung. Unter freigegebenen Nachrichten steht ein sichtbarer, nicht abschaltbarer Hinweis auf die Unterstützung durch KI; den Wortlaut legt NexAI fest.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Der Mailagent wird je Kunde in einer eigenen Instanz mit eigener Datenbank und eigenem Datenbestand betrieben.</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bCs/>
          <w:i w:val="false"/>
          <w:iCs w:val="false"/>
          <w:color w:val="1A1A1A"/>
          <w:sz w:val="21"/>
          <w:szCs w:val="21"/>
        </w:rPr>
        <w:t xml:space="preserve">Anbindung der Postfächer.</w:t>
      </w:r>
      <w:r>
        <w:rPr>
          <w:rFonts w:ascii="Arial" w:cs="Arial" w:eastAsia="Arial" w:hAnsi="Arial"/>
          <w:b w:val="false"/>
          <w:bCs w:val="false"/>
          <w:i w:val="false"/>
          <w:iCs w:val="false"/>
          <w:color w:val="1A1A1A"/>
          <w:sz w:val="21"/>
          <w:szCs w:val="21"/>
        </w:rPr>
        <w:t xml:space="preserve"> Die Zugänge zu den Postfächern stellt der Kunde bereit; er benennt mindestens eine Person, die Entwürfe freigibt. Die Anbindung erfolgt über IMAP/SMTP mit Anwendungspasswort oder über eine OAuth-Anmeldung, soweit NexAI sie für den Anbieter des Postfachs bereitstellt. Stellt ein Postfachanbieter den genutzten Anmeldeweg ein, bemüht sich NexAI um einen Ersatzweg; ist keiner verfügbar, kann jede Partei die Leistung für das betroffene Postfach mit einer Frist von einem Monat kündigen. Bei Microsoft 365 setzt die Anbindung über OAuth die Zustimmung eines Administrators des Kunden voraus.</w:t>
      </w:r>
    </w:p>
    <w:p>
      <w:pPr>
        <w:spacing w:after="80" w:line="276"/>
        <w:ind w:left="360" w:hanging="360"/>
        <w:jc w:val="both"/>
      </w:pPr>
      <w:r>
        <w:rPr>
          <w:rFonts w:ascii="Arial" w:cs="Arial" w:eastAsia="Arial" w:hAnsi="Arial"/>
          <w:color w:val="1A1A1A"/>
          <w:sz w:val="21"/>
          <w:szCs w:val="21"/>
        </w:rPr>
        <w:t xml:space="preserve">(9)	</w:t>
      </w:r>
      <w:r>
        <w:rPr>
          <w:rFonts w:ascii="Arial" w:cs="Arial" w:eastAsia="Arial" w:hAnsi="Arial"/>
          <w:b/>
          <w:bCs/>
          <w:i w:val="false"/>
          <w:iCs w:val="false"/>
          <w:color w:val="1A1A1A"/>
          <w:sz w:val="21"/>
          <w:szCs w:val="21"/>
        </w:rPr>
        <w:t xml:space="preserve">KI-Funktionen.</w:t>
      </w:r>
      <w:r>
        <w:rPr>
          <w:rFonts w:ascii="Arial" w:cs="Arial" w:eastAsia="Arial" w:hAnsi="Arial"/>
          <w:b w:val="false"/>
          <w:bCs w:val="false"/>
          <w:i w:val="false"/>
          <w:iCs w:val="false"/>
          <w:color w:val="1A1A1A"/>
          <w:sz w:val="21"/>
          <w:szCs w:val="21"/>
        </w:rPr>
        <w:t xml:space="preserve"> Der Mailagent ist eine Anwendung mit KI-Funktionen. Für Einstufung, Zusammenfassung und Antwortentwürfe gelten die Ziffern 13 und 15 Abs. (3) entsprechend; die Kennzeichnung richtet sich nach Absatz (6).</w:t>
      </w:r>
    </w:p>
    <w:p>
      <w:pPr>
        <w:spacing w:after="80" w:line="276"/>
        <w:ind w:left="360" w:hanging="360"/>
        <w:jc w:val="both"/>
      </w:pPr>
      <w:r>
        <w:rPr>
          <w:rFonts w:ascii="Arial" w:cs="Arial" w:eastAsia="Arial" w:hAnsi="Arial"/>
          <w:color w:val="1A1A1A"/>
          <w:sz w:val="21"/>
          <w:szCs w:val="21"/>
        </w:rPr>
        <w:t xml:space="preserve">(10)	</w:t>
      </w:r>
      <w:r>
        <w:rPr>
          <w:rFonts w:ascii="Arial" w:cs="Arial" w:eastAsia="Arial" w:hAnsi="Arial"/>
          <w:b/>
          <w:bCs/>
          <w:i w:val="false"/>
          <w:iCs w:val="false"/>
          <w:color w:val="1A1A1A"/>
          <w:sz w:val="21"/>
          <w:szCs w:val="21"/>
        </w:rPr>
        <w:t xml:space="preserve">Aufbewahrung und Löschung.</w:t>
      </w:r>
      <w:r>
        <w:rPr>
          <w:rFonts w:ascii="Arial" w:cs="Arial" w:eastAsia="Arial" w:hAnsi="Arial"/>
          <w:b w:val="false"/>
          <w:bCs w:val="false"/>
          <w:i w:val="false"/>
          <w:iCs w:val="false"/>
          <w:color w:val="1A1A1A"/>
          <w:sz w:val="21"/>
          <w:szCs w:val="21"/>
        </w:rPr>
        <w:t xml:space="preserve"> a) Beim Mailagenten ist die Aufbewahrung der gespiegelten Korrespondenz und des Freigabeprotokolls Teil der Leistung; § 14 Abs. (3) Buchst. (a) des Rahmenvertrages gilt nicht. b) Die Aufbewahrungsdauer wird in Ziffer 3.3 des Auftragsformulars je Datenart vereinbart. Ohne Eintrag gelten: Nachrichten mit Einstufung, Kurzfassung, Fristen, Notizen, Zuweisungen und Suchindex 180 Tage ab dem Datum der Nachricht; Anhänge und ihr ausgelesener Text 90 Tage; verworfene Entwürfe 90 Tage; der Wortlaut im Freigabeprotokoll und das Verwaltungsprotokoll 1.095 Tage; die übrigen Angaben einer Zeile des Freigabeprotokolls (Person, Zeitpunkt, Aktion, Prüfsummen) bis zum Ablauf des sechsten vollen Kalenderjahres nach dem Jahr der Freigabe; Tagesübersichten wie Nachrichten; gespeicherte Bankverbindungen bekannter Absender 24 Monate nach ihrer letzten Nennung. c) Der Kunde kann die Fristen in der Anwendung ändern, ausgenommen die Frist für gespeicherte Bankverbindungen, die der Betrugserkennung dient; jede Änderung ist eine dokumentierte Weisung (Anlage B § 4 Abs. (5)). Fristen unter sieben Tagen sind ausgeschlossen. Eine Verlängerung über die Vorgabe wird erst wirksam, wenn der Kunde sie in der Anwendung ausdrücklich bestätigt; für die längere Aufbewahrung muss beim Kunden eine Rechtsgrundlage bestehen. Eine Verkürzung wirkt mit dem nächsten Löschlauf; danach gelöschte Daten lassen sich nicht wiederherstellen. d) NexAI setzt die Fristen durch einen täglichen Löschlauf durch [setzt voraus: Löschlauf in der Instanz des Kunden scharf geschaltet]. In Sicherungskopien bleiben gelöschte Daten bis zu deren turnusmäßigem Überschreiben erhalten (Anlage B, Anhang 3). e) Der Mailagent ist kein Archiv zur Erfüllung gesetzlicher Aufbewahrungspflichten, insbesondere nicht nach § 257 HGB und § 147 AO; empfangene und abgesandte Handels- und Geschäftsbriefe bewahrt der Kunde in seinen eigenen Systemen auf, führendes System ist das Postfach des Kunden. Von jeder Antwort, die der Mailagent versendet, liegt eine unveränderte Kopie im Ordner für gesendete Nachrichten des jeweiligen Postfachs [setzt voraus: Ablage im Gesendet-Ordner in der Instanz des Kunden ausgerollt]. f) Nach Beendigung des Vertrags gilt Anlage B § 12 auch für das Freigabeprotokoll und das Verwaltungsprotokoll; die Fristen nach Buchstabe b verlängern die Speicherung bei NexAI nicht über das Vertragsende hinaus.</w:t>
      </w:r>
    </w:p>
    <w:p>
      <w:pPr>
        <w:spacing w:after="80" w:line="276"/>
        <w:ind w:left="360" w:hanging="360"/>
        <w:jc w:val="both"/>
      </w:pPr>
      <w:r>
        <w:rPr>
          <w:rFonts w:ascii="Arial" w:cs="Arial" w:eastAsia="Arial" w:hAnsi="Arial"/>
          <w:color w:val="1A1A1A"/>
          <w:sz w:val="21"/>
          <w:szCs w:val="21"/>
        </w:rPr>
        <w:t xml:space="preserve">(11)	</w:t>
      </w:r>
      <w:r>
        <w:rPr>
          <w:rFonts w:ascii="Arial" w:cs="Arial" w:eastAsia="Arial" w:hAnsi="Arial"/>
          <w:b/>
          <w:bCs/>
          <w:i w:val="false"/>
          <w:iCs w:val="false"/>
          <w:color w:val="1A1A1A"/>
          <w:sz w:val="21"/>
          <w:szCs w:val="21"/>
        </w:rPr>
        <w:t xml:space="preserve">Zweckbestimmung.</w:t>
      </w:r>
      <w:r>
        <w:rPr>
          <w:rFonts w:ascii="Arial" w:cs="Arial" w:eastAsia="Arial" w:hAnsi="Arial"/>
          <w:b w:val="false"/>
          <w:bCs w:val="false"/>
          <w:i w:val="false"/>
          <w:iCs w:val="false"/>
          <w:color w:val="1A1A1A"/>
          <w:sz w:val="21"/>
          <w:szCs w:val="21"/>
        </w:rPr>
        <w:t xml:space="preserve"> Der Mailagent ist zur Bearbeitung von Geschäftskorrespondenz bestimmt, nicht zur Beobachtung oder Bewertung der Leistung oder des Verhaltens von Beschäftigten. Zuweisungen und Erinnerungen dienen der Vorgangsbearbeitung; personenbezogene Leistungsauswertungen sind nicht vorgesehen. Eine Verwendung zu diesem Zweck ist dem Kunden untersagt (vgl. Art. 25 Abs. 1 Buchst. c KI-VO).</w:t>
      </w:r>
    </w:p>
    <w:p>
      <w:pPr>
        <w:spacing w:after="80" w:line="276"/>
        <w:ind w:left="360" w:hanging="360"/>
        <w:jc w:val="both"/>
      </w:pPr>
      <w:r>
        <w:rPr>
          <w:rFonts w:ascii="Arial" w:cs="Arial" w:eastAsia="Arial" w:hAnsi="Arial"/>
          <w:color w:val="1A1A1A"/>
          <w:sz w:val="21"/>
          <w:szCs w:val="21"/>
        </w:rPr>
        <w:t xml:space="preserve">(12)	</w:t>
      </w:r>
      <w:r>
        <w:rPr>
          <w:rFonts w:ascii="Arial" w:cs="Arial" w:eastAsia="Arial" w:hAnsi="Arial"/>
          <w:b/>
          <w:bCs/>
          <w:i w:val="false"/>
          <w:iCs w:val="false"/>
          <w:color w:val="1A1A1A"/>
          <w:sz w:val="21"/>
          <w:szCs w:val="21"/>
        </w:rPr>
        <w:t xml:space="preserve">Zugänge und Postfächer.</w:t>
      </w:r>
      <w:r>
        <w:rPr>
          <w:rFonts w:ascii="Arial" w:cs="Arial" w:eastAsia="Arial" w:hAnsi="Arial"/>
          <w:b w:val="false"/>
          <w:bCs w:val="false"/>
          <w:i w:val="false"/>
          <w:iCs w:val="false"/>
          <w:color w:val="1A1A1A"/>
          <w:sz w:val="21"/>
          <w:szCs w:val="21"/>
        </w:rPr>
        <w:t xml:space="preserve"> Im monatlichen Beitrag sind drei Zugänge und drei Postfächer enthalten. Ein Zugang ist die Möglichkeit einer natürlichen Person, sich an der Anwendung anzumelden; er ist persönlich und nicht zur gemeinsamen Nutzung durch mehrere Personen bestimmt. Ein Postfach ist eine E-Mail-Adresse, deren Nachrichten die Anwendung abruft. Die Zahl der Zugänge und der Postfächer wird in der Anwendung hinterlegt und dort durchgesetzt. Bereits eingerichtete Zugänge und angebundene Postfächer bleiben von einer späteren Änderung der Zahl unberührt.</w:t>
      </w:r>
    </w:p>
    <w:p>
      <w:pPr>
        <w:spacing w:after="80" w:line="276"/>
        <w:ind w:left="360" w:hanging="360"/>
        <w:jc w:val="both"/>
      </w:pPr>
      <w:r>
        <w:rPr>
          <w:rFonts w:ascii="Arial" w:cs="Arial" w:eastAsia="Arial" w:hAnsi="Arial"/>
          <w:color w:val="1A1A1A"/>
          <w:sz w:val="21"/>
          <w:szCs w:val="21"/>
        </w:rPr>
        <w:t xml:space="preserve">(13)	</w:t>
      </w:r>
      <w:r>
        <w:rPr>
          <w:rFonts w:ascii="Arial" w:cs="Arial" w:eastAsia="Arial" w:hAnsi="Arial"/>
          <w:b/>
          <w:bCs/>
          <w:i w:val="false"/>
          <w:iCs w:val="false"/>
          <w:color w:val="1A1A1A"/>
          <w:sz w:val="21"/>
          <w:szCs w:val="21"/>
        </w:rPr>
        <w:t xml:space="preserve">Buchung in der Anwendung.</w:t>
      </w:r>
      <w:r>
        <w:rPr>
          <w:rFonts w:ascii="Arial" w:cs="Arial" w:eastAsia="Arial" w:hAnsi="Arial"/>
          <w:b w:val="false"/>
          <w:bCs w:val="false"/>
          <w:i w:val="false"/>
          <w:iCs w:val="false"/>
          <w:color w:val="1A1A1A"/>
          <w:sz w:val="21"/>
          <w:szCs w:val="21"/>
        </w:rPr>
        <w:t xml:space="preserve"> Eine Person mit der Rolle Verwaltung kann in der Anwendung einen weiteren Zugang oder ein weiteres Postfach beauftragen, jeweils einzeln und bis zu einer Gesamtzahl von zehn. Die Anwendung nennt vor der Beauftragung den Preis nach dem Auftragsformular; die Beauftragung erfolgt durch ausdrückliche Bestätigung (Ziffer 3.3 des Auftragsformulars). Der weitere Zugang oder das weitere Postfach steht sofort zur Verfügung; die Vergütung ist ab dem Tag der Beauftragung geschuldet, für den laufenden Monat anteilig nach Tagen. Die Anwendung hält Person, Zeitpunkt und Preis jeder Beauftragung fest. Der Kunde stellt sicher, dass die Rolle Verwaltung nur Personen erhalten, die ihn insoweit vertreten dürfen. Darüber hinausgehende Mengen und abweichende Konditionen werden gesondert vereinbart.</w:t>
      </w:r>
    </w:p>
    <w:p>
      <w:pPr>
        <w:spacing w:after="80" w:line="276"/>
        <w:ind w:left="360" w:hanging="360"/>
        <w:jc w:val="both"/>
      </w:pPr>
      <w:r>
        <w:rPr>
          <w:rFonts w:ascii="Arial" w:cs="Arial" w:eastAsia="Arial" w:hAnsi="Arial"/>
          <w:color w:val="1A1A1A"/>
          <w:sz w:val="21"/>
          <w:szCs w:val="21"/>
        </w:rPr>
        <w:t xml:space="preserve">(14)	</w:t>
      </w:r>
      <w:r>
        <w:rPr>
          <w:rFonts w:ascii="Arial" w:cs="Arial" w:eastAsia="Arial" w:hAnsi="Arial"/>
          <w:b/>
          <w:bCs/>
          <w:i w:val="false"/>
          <w:iCs w:val="false"/>
          <w:color w:val="1A1A1A"/>
          <w:sz w:val="21"/>
          <w:szCs w:val="21"/>
        </w:rPr>
        <w:t xml:space="preserve">Rückgabe in der Anwendung.</w:t>
      </w:r>
      <w:r>
        <w:rPr>
          <w:rFonts w:ascii="Arial" w:cs="Arial" w:eastAsia="Arial" w:hAnsi="Arial"/>
          <w:b w:val="false"/>
          <w:bCs w:val="false"/>
          <w:i w:val="false"/>
          <w:iCs w:val="false"/>
          <w:color w:val="1A1A1A"/>
          <w:sz w:val="21"/>
          <w:szCs w:val="21"/>
        </w:rPr>
        <w:t xml:space="preserve"> Auf demselben Weg kann die Verwaltung einen zusätzlich beauftragten Zugang oder ein zusätzlich beauftragtes Postfach zurückgeben, sofern es nicht belegt ist; die drei im Beitrag enthaltenen sind ausgenommen. Mit der Rückgabe entfällt der Platz sofort; die Vergütung für den laufenden Monat bleibt geschuldet und entfällt ab dem folgenden Monat. Bei jährlicher Zahlweise wird ein weiterer Zugang oder ein weiteres Postfach für zwölf Monate ab dem Tag der Beauftragung beauftragt und zum Preis von zehn Monatsbeträgen im Voraus berechnet; eine Rückgabe innerhalb dieser zwölf Monate lässt den Platz sofort entfallen, die Vergütung bleibt bis zum Ende der zwölf Monate geschuldet und wird nicht erstattet.</w:t>
      </w:r>
    </w:p>
    <w:p>
      <w:pPr>
        <w:spacing w:after="80" w:line="276"/>
        <w:ind w:left="360" w:hanging="360"/>
        <w:jc w:val="both"/>
      </w:pPr>
      <w:r>
        <w:rPr>
          <w:rFonts w:ascii="Arial" w:cs="Arial" w:eastAsia="Arial" w:hAnsi="Arial"/>
          <w:color w:val="1A1A1A"/>
          <w:sz w:val="21"/>
          <w:szCs w:val="21"/>
        </w:rPr>
        <w:t xml:space="preserve">(15)	</w:t>
      </w:r>
      <w:r>
        <w:rPr>
          <w:rFonts w:ascii="Arial" w:cs="Arial" w:eastAsia="Arial" w:hAnsi="Arial"/>
          <w:b/>
          <w:bCs/>
          <w:i w:val="false"/>
          <w:iCs w:val="false"/>
          <w:color w:val="1A1A1A"/>
          <w:sz w:val="21"/>
          <w:szCs w:val="21"/>
        </w:rPr>
        <w:t xml:space="preserve">Rechnungsadresse und Rechnungsstellung.</w:t>
      </w:r>
      <w:r>
        <w:rPr>
          <w:rFonts w:ascii="Arial" w:cs="Arial" w:eastAsia="Arial" w:hAnsi="Arial"/>
          <w:b w:val="false"/>
          <w:bCs w:val="false"/>
          <w:i w:val="false"/>
          <w:iCs w:val="false"/>
          <w:color w:val="1A1A1A"/>
          <w:sz w:val="21"/>
          <w:szCs w:val="21"/>
        </w:rPr>
        <w:t xml:space="preserve"> Der Kunde hinterlegt in der Anwendung die Adresse, an die NexAI Rechnungen nach § 7 Abs. (8) des Rahmenvertrages übermittelt, und hält sie aktuell; ohne hinterlegte Adresse ist die Einrichtung nicht abgeschlossen. Die monatliche Vergütung wird zu Beginn eines jeden Monats im Voraus in Rechnung gestellt; anteilige Beträge für im Vormonat beauftragte Plätze werden mit dieser Rechnung abgerechnet. Abweichend von § 7 Abs. (7) des Rahmenvertrages erfolgt die Zahlung per Überweisung, bis NexAI für den Mailagenten den Lastschrifteinzug anbietet.</w:t>
      </w:r>
    </w:p>
    <w:p>
      <w:pPr>
        <w:spacing w:after="80" w:line="276"/>
        <w:ind w:left="360" w:hanging="360"/>
        <w:jc w:val="both"/>
      </w:pPr>
      <w:r>
        <w:rPr>
          <w:rFonts w:ascii="Arial" w:cs="Arial" w:eastAsia="Arial" w:hAnsi="Arial"/>
          <w:color w:val="1A1A1A"/>
          <w:sz w:val="21"/>
          <w:szCs w:val="21"/>
        </w:rPr>
        <w:t xml:space="preserve">(16)	</w:t>
      </w:r>
      <w:r>
        <w:rPr>
          <w:rFonts w:ascii="Arial" w:cs="Arial" w:eastAsia="Arial" w:hAnsi="Arial"/>
          <w:b/>
          <w:bCs/>
          <w:i w:val="false"/>
          <w:iCs w:val="false"/>
          <w:color w:val="1A1A1A"/>
          <w:sz w:val="21"/>
          <w:szCs w:val="21"/>
        </w:rPr>
        <w:t xml:space="preserve">Selbstverwaltung.</w:t>
      </w:r>
      <w:r>
        <w:rPr>
          <w:rFonts w:ascii="Arial" w:cs="Arial" w:eastAsia="Arial" w:hAnsi="Arial"/>
          <w:b w:val="false"/>
          <w:bCs w:val="false"/>
          <w:i w:val="false"/>
          <w:iCs w:val="false"/>
          <w:color w:val="1A1A1A"/>
          <w:sz w:val="21"/>
          <w:szCs w:val="21"/>
        </w:rPr>
        <w:t xml:space="preserve"> Der Kunde verwaltet seine Zugänge selbst: Er legt Personen an, entzieht ihnen den Zugang und bestimmt, welche Postfächer sie sehen. Passwörter setzt jede Person selbst; sie werden nur als Prüfwert gespeichert und sind für NexAI nicht lesbar. Personen mit der Rolle Verwaltung müssen einen zweiten Faktor einrichten; für alle übrigen Personen steht er zur Verfügung. NexAI legt den ersten Zugang der Verwaltung an und greift auf Zugänge und Inhalte nur auf Weisung des Kunden oder zur Störungsbeseitigung zu; NexAI dokumentiert jeden solchen Zugriff mit Anlass.</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(entfallen)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NexAI richtet Automatisierungen (Workflows) ein und betreibt diese, um wiederkehrende Prozesse des Kunden zu verbinden und zu automatisieren.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CRM-Systeme, Google Workspace oder Microsoft 365 im Rahmen der verfügbaren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Kalender-, E-Mail- und Tabellensysteme (z. B. Google Sheets, Microsoft Excel)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weiterer Systeme über verfügbare Programmierschnittstellen (APIs) und Webhooks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Benachrichtigungen (z. B. per E-Mail oder Messaging) bei definierten Ereignissen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Erfassung, Verteilung und Zuordnung von Leads (Lead-Routing)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 wiederkehrender Prozessschritte nach vereinbarter Ablauflogik</w:t>
      </w:r>
    </w:p>
    <w:p>
      <w:pPr>
        <w:spacing w:after="140" w:before="80"/>
      </w:pPr>
      <w:r>
        <w:rPr>
          <w:rFonts w:ascii="Arial" w:cs="Arial" w:eastAsia="Arial" w:hAnsi="Arial"/>
          <w:b w:val="false"/>
          <w:bCs w:val="false"/>
          <w:i/>
          <w:iCs/>
          <w:color w:val="6B7280"/>
          <w:sz w:val="18"/>
          <w:szCs w:val="18"/>
        </w:rPr>
        <w:t xml:space="preserve">Umfang und Verfügbarkeit der Anbindungen hängen von den Schnittstellen und Nutzungsbedingungen der jeweiligen Drittsysteme (Subunternehmer) ab und stehen insoweit unter dem Vorbehalt deren technischer und rechtlicher Verfügbarkeit. Die erforderlichen Zugänge und Berechtigungen zu kundeneigenen Systemen stellt der Kunde bereit.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individuelle, projektspezifisch zugeschnittene Agenten. Der konkrete Leistungsumfang, die Ziele, die einzubindenden Datenquellen und Systeme sowie etwaige Abnahmekriterien werden im Auftragsformular oder in einer gesonderten Leistungsbeschreibung je Projekt festgelegt und sind als solche Bestandteil dieser Anlage A. Die vorstehenden Regelungen dieser Anlage (insbesondere zu Transparenz, Aufzeichnungen und Guardrails, Ziffern 11 bis 13) gelten für individuelle Agenten entsprechend.</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(entfallen)</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und Anwendungen ist eine </w:t>
      </w:r>
      <w:r>
        <w:rPr>
          <w:rFonts w:ascii="Arial" w:cs="Arial" w:eastAsia="Arial" w:hAnsi="Arial"/>
          <w:b/>
          <w:bCs/>
          <w:i w:val="false"/>
          <w:iCs w:val="false"/>
          <w:color w:val="1A1A1A"/>
          <w:sz w:val="21"/>
          <w:szCs w:val="21"/>
        </w:rPr>
        <w:t xml:space="preserve">Projektleistung</w:t>
      </w:r>
      <w:r>
        <w:rPr>
          <w:rFonts w:ascii="Arial" w:cs="Arial" w:eastAsia="Arial" w:hAnsi="Arial"/>
          <w:b w:val="false"/>
          <w:bCs w:val="false"/>
          <w:i w:val="false"/>
          <w:iCs w:val="false"/>
          <w:color w:val="1A1A1A"/>
          <w:sz w:val="21"/>
          <w:szCs w:val="21"/>
        </w:rPr>
        <w:t xml:space="preserve"> (Werkleistung) und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Grundkonfiguration der beauftragten Agenten (Persona, Sprache(n), Dialoglogik, Rahmenparameter)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beauftragten Anwendungen (Mandant, Stammdaten, Benutzerkonten, Rollen und 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Aufbau der Wissensbasis auf Grundlage der vom Kunden bereitgestellten Informationen und Unterlagen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vereinbarten Workflows und Automatisierungen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vereinbarten Systeme und Schnittstellen des Kunden (z. B. Kalender, CRM, Telefonie)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Funktionstests und Feinjustierung vor Inbetriebnahme</w:t>
      </w:r>
    </w:p>
    <w:p>
      <w:pPr>
        <w:spacing w:after="120" w:line="276"/>
        <w:jc w:val="both"/>
      </w:pPr>
      <w:r>
        <w:rPr>
          <w:rFonts w:ascii="Arial" w:cs="Arial" w:eastAsia="Arial" w:hAnsi="Arial"/>
          <w:b w:val="false"/>
          <w:bCs w:val="false"/>
          <w:i w:val="false"/>
          <w:iCs w:val="false"/>
          <w:color w:val="1A1A1A"/>
          <w:sz w:val="21"/>
          <w:szCs w:val="21"/>
        </w:rPr>
        <w:t xml:space="preserve">Eine gesonderte </w:t>
      </w:r>
      <w:r>
        <w:rPr>
          <w:rFonts w:ascii="Arial" w:cs="Arial" w:eastAsia="Arial" w:hAnsi="Arial"/>
          <w:b/>
          <w:bCs/>
          <w:i w:val="false"/>
          <w:iCs w:val="false"/>
          <w:color w:val="1A1A1A"/>
          <w:sz w:val="21"/>
          <w:szCs w:val="21"/>
        </w:rPr>
        <w:t xml:space="preserve">Einrichtungsgebühr</w:t>
      </w:r>
      <w:r>
        <w:rPr>
          <w:rFonts w:ascii="Arial" w:cs="Arial" w:eastAsia="Arial" w:hAnsi="Arial"/>
          <w:b w:val="false"/>
          <w:bCs w:val="false"/>
          <w:i w:val="false"/>
          <w:iCs w:val="false"/>
          <w:color w:val="1A1A1A"/>
          <w:sz w:val="21"/>
          <w:szCs w:val="21"/>
        </w:rPr>
        <w:t xml:space="preserve"> fällt nur an, soweit sie im Auftragsformular vereinbart ist; andernfalls ist die Ersteinrichtung mit dem vereinbarten monatlichen oder jährlichen Beitrag abgegolten.</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Die Kennzeichnung der Agenten als künstliche Intelligenz ist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verbindlicher, nicht abschaltbarer Bestandteil</w:t>
      </w:r>
      <w:r>
        <w:rPr>
          <w:rFonts w:ascii="Arial" w:cs="Arial" w:eastAsia="Arial" w:hAnsi="Arial"/>
          <w:b w:val="false"/>
          <w:bCs w:val="false"/>
          <w:i w:val="false"/>
          <w:iCs w:val="false"/>
          <w:color w:val="1A1A1A"/>
          <w:sz w:val="21"/>
          <w:szCs w:val="21"/>
        </w:rPr>
        <w:t xml:space="preserve"> der Leistung. Jeder Endnutzer wird zu Beginn der Interaktion darüber informiert, dass er mit einem KI-System interagiert.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erfolgt zu Beginn jedes Gesprächs eine Pflicht-Ansage. Der Standard-Wortlaut lautet – anpassbar an den Kundennamen, inhaltlich jedoch verbindlich: </w:t>
      </w:r>
      <w:r>
        <w:rPr>
          <w:rFonts w:ascii="Arial" w:cs="Arial" w:eastAsia="Arial" w:hAnsi="Arial"/>
          <w:b/>
          <w:bCs/>
          <w:i w:val="false"/>
          <w:iCs w:val="false"/>
          <w:color w:val="1A1A1A"/>
          <w:sz w:val="21"/>
          <w:szCs w:val="21"/>
        </w:rPr>
        <w:t xml:space="preserve">"Guten Tag, Sie sprechen mit einem KI-Assistenten der [Firma des Kunden]. Wie kann ich Ihnen helfen?"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wird der KI-Hinweis in der Benutzeroberfläche deutlich sichtbar ausgewiesen (z. B. "KI-Assistent").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Ist die Tonaufzeichnung eines Gesprächs im Ausnahmefall auf dokumentierte Weisung des Kunden aktiviert (Ziffer 12), wird die Ansage um einen </w:t>
      </w:r>
      <w:r>
        <w:rPr>
          <w:rFonts w:ascii="Arial" w:cs="Arial" w:eastAsia="Arial" w:hAnsi="Arial"/>
          <w:b/>
          <w:bCs/>
          <w:i w:val="false"/>
          <w:iCs w:val="false"/>
          <w:color w:val="1A1A1A"/>
          <w:sz w:val="21"/>
          <w:szCs w:val="21"/>
        </w:rPr>
        <w:t xml:space="preserve">Aufzeichnungshinweis</w:t>
      </w:r>
      <w:r>
        <w:rPr>
          <w:rFonts w:ascii="Arial" w:cs="Arial" w:eastAsia="Arial" w:hAnsi="Arial"/>
          <w:b w:val="false"/>
          <w:bCs w:val="false"/>
          <w:i w:val="false"/>
          <w:iCs w:val="false"/>
          <w:color w:val="1A1A1A"/>
          <w:sz w:val="21"/>
          <w:szCs w:val="21"/>
        </w:rPr>
        <w:t xml:space="preserve"> ergänzt, z. B.: </w:t>
      </w:r>
      <w:r>
        <w:rPr>
          <w:rFonts w:ascii="Arial" w:cs="Arial" w:eastAsia="Arial" w:hAnsi="Arial"/>
          <w:b/>
          <w:bCs/>
          <w:i w:val="false"/>
          <w:iCs w:val="false"/>
          <w:color w:val="1A1A1A"/>
          <w:sz w:val="21"/>
          <w:szCs w:val="21"/>
        </w:rPr>
        <w:t xml:space="preserve">"Dieses Gespräch wird zu Qualitätszwecken aufgezeichnet. Wenn Sie damit nicht einverstanden sind, teilen Sie mir dies bitte mit."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Ansage bzw. der Hinweis kann durch den Kunden nicht deaktiviert werden. Weisungen, die auf eine Entfernung oder Verschleierung der KI-Kennzeichnung gerichtet sind, wird NexAI nicht befolgen; NexAI ist berechtigt, den Betrieb eines Agenten auszusetzen, solange eine solche Weisung aufrechterhalten wird.</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Inhalte, die die Agenten und die KI-Funktionen der Anwendungen erzeugen, kennzeichnet NexAI zusätzlich maschinenlesbar als künstlich erzeugt (Art. 50 Abs. 2 KI-VO), soweit dies nach dem Stand der Technik für das jeweilige Ausgabeformat möglich ist, insbesondere durch Kopfzeilen bei E-Mails, ein Kennzeichen im Chat-Fenster und ein Kennzeichen des Sprachdienstes bei Audio [setzt voraus für Chat und Sprachausgabe: Umsetzung bis zum 2. Dezember 2026, Art. 111 Abs. 4 KI-VO]. Der Kunde entfernt diese Kennzeichnung nicht.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den NexAI Mailagent gilt Ziffer 5.4 Abs. (6).</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Aufzeichnungen und Transkripte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Die Sprache wird während des Gesprächs zur Verarbeitung in Text umgewandelt; ein Wortprotokoll speichert NexAI nicht dauerhaft, es sei denn, der Kunde hat die Übergabe eines Gesprächsprotokolls in eine Anwendung beauftragt. Der Plattformanbieter des Voice Agent bewahrt ein technisches Gesprächsprotokoll für bis zu [14] Tage auf (Anlage B, Anhang 3). Eine Tonaufzeichnung oder eine darüber hinausgehende Speicherung des Wortprotokolls erfolgt nur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(Betreiber im Sinne der KI-VO) und nur, soweit der Kunde die datenschutz- und sonstige rechtliche Zulässigkeit sicherstellt.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Ist die Tonaufzeichnung oder die Speicherung des Wortprotokolls aktiviert, erfolgt stets der Aufzeichnungshinweis nach Ziffer 11 Absatz (3). Die Aufbewahrung der Aufzeichnungen und Wortprotokolle beträgt höchstens sechs (6) Monate ab Erstellung, soweit der Kunde keine kürzere Frist bestimmt; danach werden sie gelöscht.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Speicherung in privaten Endnutzer-Accounts</w:t>
      </w:r>
      <w:r>
        <w:rPr>
          <w:rFonts w:ascii="Arial" w:cs="Arial" w:eastAsia="Arial" w:hAnsi="Arial"/>
          <w:b w:val="false"/>
          <w:bCs w:val="false"/>
          <w:i w:val="false"/>
          <w:iCs w:val="false"/>
          <w:color w:val="1A1A1A"/>
          <w:sz w:val="21"/>
          <w:szCs w:val="21"/>
        </w:rPr>
        <w:t xml:space="preserve"> findet nicht statt. Die Verarbeitung erfolgt im Rahmen der von NexAI eingesetzten Betriebsmittel und der in Anlage B (AVV) benannten Subunternehmer.</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Aufzeichnungen und Wortprotokolle werden dem Kunden auf Anfrage im Rahmen der technischen Möglichkeiten bereitgestellt.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Speicher- und Löschregeln je Agent und Anwendung ergeben sich aus § 14 Abs. (3) des Rahmenvertrages sowie aus Anlage B (§ 8 und Anhang 3); bei Vertragsende gilt § 21 des Rahmenvertrages.</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Zur Sicherstellung eines verantwortungsvollen Betriebs unterliegen die Agenten den folgenden verbindlichen Leitplanken (Guardrails):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Die Agenten geben keine verbindlichen Zusagen zu Preisen, Bestellungen oder Verträgen ab. Sie erteilen ausschließlich unverbindliche Auskünfte und vereinbaren Termine innerhalb der vom Kunden hinterlegten Verfügbarkeiten.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Fachberatung:</w:t>
      </w:r>
      <w:r>
        <w:rPr>
          <w:rFonts w:ascii="Arial" w:cs="Arial" w:eastAsia="Arial" w:hAnsi="Arial"/>
          <w:b w:val="false"/>
          <w:bCs w:val="false"/>
          <w:i w:val="false"/>
          <w:iCs w:val="false"/>
          <w:color w:val="1A1A1A"/>
          <w:sz w:val="21"/>
          <w:szCs w:val="21"/>
        </w:rPr>
        <w:t xml:space="preserve"> Die Agenten erteilen keine medizinische, rechtliche oder steuerliche Beratung. Bei entsprechenden Anliegen erfolgt ein Hinweis auf fachkundige Stellen bzw. eine Weiterleitung.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Eskalations- und Rückfragelogik:</w:t>
      </w:r>
      <w:r>
        <w:rPr>
          <w:rFonts w:ascii="Arial" w:cs="Arial" w:eastAsia="Arial" w:hAnsi="Arial"/>
          <w:b w:val="false"/>
          <w:bCs w:val="false"/>
          <w:i w:val="false"/>
          <w:iCs w:val="false"/>
          <w:color w:val="1A1A1A"/>
          <w:sz w:val="21"/>
          <w:szCs w:val="21"/>
        </w:rPr>
        <w:t xml:space="preserve"> Bei unklaren, komplexen oder außerhalb der Wissensbasis liegenden Anliegen stellt der Agent Rückfragen oder eskaliert an einen menschlichen Ansprechpartner bzw. an eine vom Kunden benannte Stelle.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Kalender-Read-Back:</w:t>
      </w:r>
      <w:r>
        <w:rPr>
          <w:rFonts w:ascii="Arial" w:cs="Arial" w:eastAsia="Arial" w:hAnsi="Arial"/>
          <w:b w:val="false"/>
          <w:bCs w:val="false"/>
          <w:i w:val="false"/>
          <w:iCs w:val="false"/>
          <w:color w:val="1A1A1A"/>
          <w:sz w:val="21"/>
          <w:szCs w:val="21"/>
        </w:rPr>
        <w:t xml:space="preserve"> Zur Vermeidung von Doppelbuchungen erfolgt vor der Terminbestätigung ein Abgleich mit dem angebundenen Kalender (Read-Back) im Rahmen der technischen Möglichkeiten des angebundenen Systems.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Themen- und Verhaltensausschlüsse:</w:t>
      </w:r>
      <w:r>
        <w:rPr>
          <w:rFonts w:ascii="Arial" w:cs="Arial" w:eastAsia="Arial" w:hAnsi="Arial"/>
          <w:b w:val="false"/>
          <w:bCs w:val="false"/>
          <w:i w:val="false"/>
          <w:iCs w:val="false"/>
          <w:color w:val="1A1A1A"/>
          <w:sz w:val="21"/>
          <w:szCs w:val="21"/>
        </w:rPr>
        <w:t xml:space="preserve"> Der Agent verweigert die Bearbeitung unzulässiger, diskriminierender oder gegen die vereinbarten Vorgaben verstoßender Anliegen.</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Pflege und Aktualität der Wissensbasis</w:t>
      </w:r>
      <w:r>
        <w:rPr>
          <w:rFonts w:ascii="Arial" w:cs="Arial" w:eastAsia="Arial" w:hAnsi="Arial"/>
          <w:b w:val="false"/>
          <w:bCs w:val="false"/>
          <w:i w:val="false"/>
          <w:iCs w:val="false"/>
          <w:color w:val="1A1A1A"/>
          <w:sz w:val="21"/>
          <w:szCs w:val="21"/>
        </w:rPr>
        <w:t xml:space="preserve"> (z. B. Preise, Öffnungszeiten, Produktinformationen, FAQ) obliegt dem </w:t>
      </w:r>
      <w:r>
        <w:rPr>
          <w:rFonts w:ascii="Arial" w:cs="Arial" w:eastAsia="Arial" w:hAnsi="Arial"/>
          <w:b/>
          <w:bCs/>
          <w:i w:val="false"/>
          <w:iCs w:val="false"/>
          <w:color w:val="1A1A1A"/>
          <w:sz w:val="21"/>
          <w:szCs w:val="21"/>
        </w:rPr>
        <w:t xml:space="preserve">Kunden</w:t>
      </w:r>
      <w:r>
        <w:rPr>
          <w:rFonts w:ascii="Arial" w:cs="Arial" w:eastAsia="Arial" w:hAnsi="Arial"/>
          <w:b w:val="false"/>
          <w:bCs w:val="false"/>
          <w:i w:val="false"/>
          <w:iCs w:val="false"/>
          <w:color w:val="1A1A1A"/>
          <w:sz w:val="21"/>
          <w:szCs w:val="21"/>
        </w:rPr>
        <w:t xml:space="preserve">. NexAI verarbeitet die vom Kunden bereitgestellten Inhalte; für deren Richtigkeit, Vollständigkeit und Aktualität ist der Kunde verantwortlich.</w:t>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Nicht Gegenstand des Vertrages sind, soweit nicht ausdrücklich im Auftragsformular vereinbart, insbesondere die folgenden 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Websites, Landingpages und Online-Shops sowie deren Gestaltung und Pflege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Suchmaschinen-Optimierung (SEO) und redaktionelle Content-Erstellung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Betreuung von Social-Media-Kanälen sowie Erstellung und Veröffentlichung von Beiträgen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Recherche und Ansprache potenzieller Kunden des Kunden (Akquise, Lead-Recherche)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Planung, Schaltung und Betreuung bezahlter Werbekampagnen (z. B. Google Ads, Social Ads) sowie das damit verbundene Mediabudget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Grafik-, Logo- und Corporate-Design-Leistungen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Hosting, Wartung oder Betrieb kundeneigener oder fremder Systeme, die nicht Bestandteil der von NexAI bereitgestellten Betriebsmittel sind, soweit nicht nach Anlage E (Kauflizenz) oder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Schulungen, Workshops und Einweisungen, soweit nicht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Beschaffung von Lizenzen, Guthaben oder Zugängen zu Drittdiensten, soweit nicht im Beitrag enthalten oder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Übernahme von Daten aus Vorsystemen (Datenmigration), soweit nicht ausdrücklich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Veröffentlichung von Anwendungen in den App-Stores von Apple oder Google</w:t>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Keine Erfolgs-, Lead- oder Umsatzgarantie (Beschaffenheit)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die vertragsgemäße Bereitstellung und den vertragsgemäßen Betrieb der Agenten und Anwendungen nach Maßgabe dieser Anlage A und des Auftragsformulars. NexAI schuldet </w:t>
      </w:r>
      <w:r>
        <w:rPr>
          <w:rFonts w:ascii="Arial" w:cs="Arial" w:eastAsia="Arial" w:hAnsi="Arial"/>
          <w:b/>
          <w:bCs/>
          <w:i w:val="false"/>
          <w:iCs w:val="false"/>
          <w:color w:val="1A1A1A"/>
          <w:sz w:val="21"/>
          <w:szCs w:val="21"/>
        </w:rPr>
        <w:t xml:space="preserve">keinen wirtschaftlichen Erfolg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Garantie</w:t>
      </w:r>
      <w:r>
        <w:rPr>
          <w:rFonts w:ascii="Arial" w:cs="Arial" w:eastAsia="Arial" w:hAnsi="Arial"/>
          <w:b w:val="false"/>
          <w:bCs w:val="false"/>
          <w:i w:val="false"/>
          <w:iCs w:val="false"/>
          <w:color w:val="1A1A1A"/>
          <w:sz w:val="21"/>
          <w:szCs w:val="21"/>
        </w:rPr>
        <w:t xml:space="preserve"> für eine bestimmte Anzahl an Leads, Terminen, Abschlüssen, Reichweiten oder für einen bestimmten Umsatz übernommen. Eine dahingehende Beschaffenheit wird nicht als geschuldet vereinbart.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Agenten beruhen auf </w:t>
      </w:r>
      <w:r>
        <w:rPr>
          <w:rFonts w:ascii="Arial" w:cs="Arial" w:eastAsia="Arial" w:hAnsi="Arial"/>
          <w:b/>
          <w:bCs/>
          <w:i w:val="false"/>
          <w:iCs w:val="false"/>
          <w:color w:val="1A1A1A"/>
          <w:sz w:val="21"/>
          <w:szCs w:val="21"/>
        </w:rPr>
        <w:t xml:space="preserve">wahrscheinlichkeitsbasierten KI-Verfahren</w:t>
      </w:r>
      <w:r>
        <w:rPr>
          <w:rFonts w:ascii="Arial" w:cs="Arial" w:eastAsia="Arial" w:hAnsi="Arial"/>
          <w:b w:val="false"/>
          <w:bCs w:val="false"/>
          <w:i w:val="false"/>
          <w:iCs w:val="false"/>
          <w:color w:val="1A1A1A"/>
          <w:sz w:val="21"/>
          <w:szCs w:val="21"/>
        </w:rPr>
        <w:t xml:space="preserve"> und sind naturgemäß </w:t>
      </w:r>
      <w:r>
        <w:rPr>
          <w:rFonts w:ascii="Arial" w:cs="Arial" w:eastAsia="Arial" w:hAnsi="Arial"/>
          <w:b/>
          <w:bCs/>
          <w:i w:val="false"/>
          <w:iCs w:val="false"/>
          <w:color w:val="1A1A1A"/>
          <w:sz w:val="21"/>
          <w:szCs w:val="21"/>
        </w:rPr>
        <w:t xml:space="preserve">nicht in jedem Einzelfall fehlerfrei</w:t>
      </w:r>
      <w:r>
        <w:rPr>
          <w:rFonts w:ascii="Arial" w:cs="Arial" w:eastAsia="Arial" w:hAnsi="Arial"/>
          <w:b w:val="false"/>
          <w:bCs w:val="false"/>
          <w:i w:val="false"/>
          <w:iCs w:val="false"/>
          <w:color w:val="1A1A1A"/>
          <w:sz w:val="21"/>
          <w:szCs w:val="21"/>
        </w:rPr>
        <w:t xml:space="preserve">. Die Parteien vereinbaren als geschuldete Beschaffenheit den Betrieb der Agenten im Rahmen des vereinbarten Leistungsbildes und der Guardrails (Ziffer 13). Vereinzelte inhaltliche Unrichtigkeiten, Missverständnisse oder nicht abschließend bearbeitete Anfragen begründen für sich genommen keinen Mangel, solange die Agenten im Rahmen dieses Leistungsbildes arbeiten; die gesetzlichen Mängelrechte des Kunden bei einem Abweichen von der vereinbarten Beschaffenheit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Verfügbarkeit richtet sich nach Anlage C (SLA); die Haftung richtet sich nach den Regelungen des Rahmenvertrages (§ Haftung) und der AGB (B2B).</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Anlage A ist Bestandteil des Rahmenvertrages und gilt nur in Verbindung mit dem jeweiligen Auftragsformular. 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A – Leistungsbeschreibung</dc:title>
  <dc:creator>NexAI</dc:creator>
  <cp:lastModifiedBy>Un-named</cp:lastModifiedBy>
  <cp:revision>1</cp:revision>
  <dcterms:created xsi:type="dcterms:W3CDTF">2026-10-18T22:19:10.271Z</dcterms:created>
  <dcterms:modified xsi:type="dcterms:W3CDTF">2026-10-18T22:19:10.272Z</dcterms:modified>
</cp:coreProperties>
</file>

<file path=docProps/custom.xml><?xml version="1.0" encoding="utf-8"?>
<Properties xmlns="http://schemas.openxmlformats.org/officeDocument/2006/custom-properties" xmlns:vt="http://schemas.openxmlformats.org/officeDocument/2006/docPropsVTypes"/>
</file>