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Rahmen-Dienstleistungsvertrag für KI- und Automatisierungslösungen (B2B)</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Juli 2026</w:t>
      </w:r>
    </w:p>
    <w:p>
      <w:pPr>
        <w:spacing w:after="120" w:line="276"/>
        <w:jc w:val="both"/>
      </w:pPr>
      <w:r>
        <w:rPr>
          <w:rFonts w:ascii="Arial" w:cs="Arial" w:eastAsia="Arial" w:hAnsi="Arial"/>
          <w:b w:val="false"/>
          <w:bCs w:val="false"/>
          <w:i w:val="false"/>
          <w:iCs w:val="false"/>
          <w:color w:val="1A1A1A"/>
          <w:sz w:val="21"/>
          <w:szCs w:val="21"/>
        </w:rPr>
        <w:t xml:space="preserve">Dieser Rahmen-Dienstleistungsvertrag (nachfolgend </w:t>
      </w:r>
      <w:r>
        <w:rPr>
          <w:rFonts w:ascii="Arial" w:cs="Arial" w:eastAsia="Arial" w:hAnsi="Arial"/>
          <w:b/>
          <w:bCs/>
          <w:i w:val="false"/>
          <w:iCs w:val="false"/>
          <w:color w:val="1A1A1A"/>
          <w:sz w:val="21"/>
          <w:szCs w:val="21"/>
        </w:rPr>
        <w:t xml:space="preserve">"Rahmenvertrag"</w:t>
      </w:r>
      <w:r>
        <w:rPr>
          <w:rFonts w:ascii="Arial" w:cs="Arial" w:eastAsia="Arial" w:hAnsi="Arial"/>
          <w:b w:val="false"/>
          <w:bCs w:val="false"/>
          <w:i w:val="false"/>
          <w:iCs w:val="false"/>
          <w:color w:val="1A1A1A"/>
          <w:sz w:val="21"/>
          <w:szCs w:val="21"/>
        </w:rPr>
        <w:t xml:space="preserve">) wird geschlossen zwischen den nachstehenden Parteien:</w:t>
      </w:r>
    </w:p>
    <w:p>
      <w:pPr>
        <w:pStyle w:val="Heading2"/>
        <w:keepNext/>
        <w:spacing w:after="80" w:before="160"/>
      </w:pPr>
      <w:r>
        <w:rPr>
          <w:rFonts w:ascii="Arial" w:cs="Arial" w:eastAsia="Arial" w:hAnsi="Arial"/>
          <w:b/>
          <w:bCs/>
          <w:i w:val="false"/>
          <w:iCs w:val="false"/>
          <w:color w:val="0B0B0F"/>
          <w:sz w:val="21"/>
          <w:szCs w:val="21"/>
        </w:rPr>
        <w:t xml:space="preserve">Anbieter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PLZ,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Vertretungsberechtigte Person: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Registergericht / HRB-Nr. (soweit vorhanden):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w:t>
      </w:r>
      <w:r>
        <w:rPr>
          <w:rFonts w:ascii="Arial" w:cs="Arial" w:eastAsia="Arial" w:hAnsi="Arial"/>
          <w:b/>
          <w:bCs/>
          <w:i w:val="false"/>
          <w:iCs w:val="false"/>
          <w:color w:val="1A1A1A"/>
          <w:sz w:val="21"/>
          <w:szCs w:val="21"/>
        </w:rPr>
        <w:t xml:space="preserve">"Kunde"</w:t>
      </w:r>
      <w:r>
        <w:rPr>
          <w:rFonts w:ascii="Arial" w:cs="Arial" w:eastAsia="Arial" w:hAnsi="Arial"/>
          <w:b w:val="false"/>
          <w:bCs w:val="false"/>
          <w:i w:val="false"/>
          <w:iCs w:val="false"/>
          <w:color w:val="1A1A1A"/>
          <w:sz w:val="21"/>
          <w:szCs w:val="21"/>
        </w:rPr>
        <w:t xml:space="preserve"> —</w:t>
      </w:r>
    </w:p>
    <w:p>
      <w:pPr>
        <w:spacing w:after="120" w:line="276"/>
        <w:jc w:val="both"/>
      </w:pPr>
      <w:r>
        <w:rPr>
          <w:rFonts w:ascii="Arial" w:cs="Arial" w:eastAsia="Arial" w:hAnsi="Arial"/>
          <w:b w:val="false"/>
          <w:bCs w:val="false"/>
          <w:i w:val="false"/>
          <w:iCs w:val="false"/>
          <w:color w:val="1A1A1A"/>
          <w:sz w:val="21"/>
          <w:szCs w:val="21"/>
        </w:rPr>
        <w:t xml:space="preserve">NexAI und der Kunde nachfolgend jeweils einzeln </w:t>
      </w:r>
      <w:r>
        <w:rPr>
          <w:rFonts w:ascii="Arial" w:cs="Arial" w:eastAsia="Arial" w:hAnsi="Arial"/>
          <w:b/>
          <w:bCs/>
          <w:i w:val="false"/>
          <w:iCs w:val="false"/>
          <w:color w:val="1A1A1A"/>
          <w:sz w:val="21"/>
          <w:szCs w:val="21"/>
        </w:rPr>
        <w:t xml:space="preserve">"Partei"</w:t>
      </w:r>
      <w:r>
        <w:rPr>
          <w:rFonts w:ascii="Arial" w:cs="Arial" w:eastAsia="Arial" w:hAnsi="Arial"/>
          <w:b w:val="false"/>
          <w:bCs w:val="false"/>
          <w:i w:val="false"/>
          <w:iCs w:val="false"/>
          <w:color w:val="1A1A1A"/>
          <w:sz w:val="21"/>
          <w:szCs w:val="21"/>
        </w:rPr>
        <w:t xml:space="preserve"> und gemeinsam </w:t>
      </w:r>
      <w:r>
        <w:rPr>
          <w:rFonts w:ascii="Arial" w:cs="Arial" w:eastAsia="Arial" w:hAnsi="Arial"/>
          <w:b/>
          <w:bCs/>
          <w:i w:val="false"/>
          <w:iCs w:val="false"/>
          <w:color w:val="1A1A1A"/>
          <w:sz w:val="21"/>
          <w:szCs w:val="21"/>
        </w:rPr>
        <w:t xml:space="preserve">"Parteien"</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regelt die allgemeinen Bedingungen der Zusammenarbeit. Die konkreten Leistungen, Beiträge und Parameter werden im jeweiligen Auftragsformular / Leistungsschein und den Anlagen A–D festgelegt.</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Vertragsgegenstand, Vertragsdokumente und Rangfolge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Bereich KI-gestützter Assistenzsysteme und Automatisierung, insbesondere die Bereitstellung, Einrichtung und den Betrieb von KI-Agenten / digitalen Assistenten (Voice Agent, Chat Agent, Social-Media-Agent, Vertriebs-/Akquise-Agent, Automatisierungen, individuelle KI-Agenten — nachfolgend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sowie die Erstellung von Websites und damit verbundene Leistungen. Personen, die mit den Agenten interagieren (z. B. Anrufer, Chat-Kontakte, angesprochene Kontakte), sind nachfolgend </w:t>
      </w: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konkreten Leistungen ergeben sich aus dem jeweils gesondert vereinbarten </w:t>
      </w:r>
      <w:r>
        <w:rPr>
          <w:rFonts w:ascii="Arial" w:cs="Arial" w:eastAsia="Arial" w:hAnsi="Arial"/>
          <w:b/>
          <w:bCs/>
          <w:i w:val="false"/>
          <w:iCs w:val="false"/>
          <w:color w:val="1A1A1A"/>
          <w:sz w:val="21"/>
          <w:szCs w:val="21"/>
        </w:rPr>
        <w:t xml:space="preserve">Auftragsformular / Leistungsschein</w:t>
      </w:r>
      <w:r>
        <w:rPr>
          <w:rFonts w:ascii="Arial" w:cs="Arial" w:eastAsia="Arial" w:hAnsi="Arial"/>
          <w:b w:val="false"/>
          <w:bCs w:val="false"/>
          <w:i w:val="false"/>
          <w:iCs w:val="false"/>
          <w:color w:val="1A1A1A"/>
          <w:sz w:val="21"/>
          <w:szCs w:val="21"/>
        </w:rPr>
        <w:t xml:space="preserve">. Jeder erteilte Auftrag begründet einen Einzelvertrag, auf den dieser Rahmenvertrag und die jeweils in Bezug genommenen Anlagen Anwendung finden.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Vertragsbestandteile (nachfolgend </w:t>
      </w:r>
      <w:r>
        <w:rPr>
          <w:rFonts w:ascii="Arial" w:cs="Arial" w:eastAsia="Arial" w:hAnsi="Arial"/>
          <w:b/>
          <w:bCs/>
          <w:i w:val="false"/>
          <w:iCs w:val="false"/>
          <w:color w:val="1A1A1A"/>
          <w:sz w:val="21"/>
          <w:szCs w:val="21"/>
        </w:rPr>
        <w:t xml:space="preserve">"Vertragsdokumente"</w:t>
      </w:r>
      <w:r>
        <w:rPr>
          <w:rFonts w:ascii="Arial" w:cs="Arial" w:eastAsia="Arial" w:hAnsi="Arial"/>
          <w:b w:val="false"/>
          <w:bCs w:val="false"/>
          <w:i w:val="false"/>
          <w:iCs w:val="false"/>
          <w:color w:val="1A1A1A"/>
          <w:sz w:val="21"/>
          <w:szCs w:val="21"/>
        </w:rPr>
        <w:t xml:space="preserve">) sind, soweit im Auftragsformular in Bezug genommen: dieses Auftragsformular / der Leistungsschein, dieser Rahmenvertrag, Anlage A (Leistungsbeschreibung), Anlage B (Auftragsverarbeitungsvertrag – AVV), Anlage C (Service Level Agreement – SLA), Anlage D (Abnahmeprotokoll), das SEPA-Firmenlastschriftmandat sowie die Allgemeinen Geschäftsbedingungen (AGB, B2B).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den Vertragsdokumenten gilt vorbehaltlich Absatz (5) und (6) folgende </w:t>
      </w:r>
      <w:r>
        <w:rPr>
          <w:rFonts w:ascii="Arial" w:cs="Arial" w:eastAsia="Arial" w:hAnsi="Arial"/>
          <w:b/>
          <w:bCs/>
          <w:i w:val="false"/>
          <w:iCs w:val="false"/>
          <w:color w:val="1A1A1A"/>
          <w:sz w:val="21"/>
          <w:szCs w:val="21"/>
        </w:rPr>
        <w:t xml:space="preserve">Rangfolge</w:t>
      </w:r>
      <w:r>
        <w:rPr>
          <w:rFonts w:ascii="Arial" w:cs="Arial" w:eastAsia="Arial" w:hAnsi="Arial"/>
          <w:b w:val="false"/>
          <w:bCs w:val="false"/>
          <w:i w:val="false"/>
          <w:iCs w:val="false"/>
          <w:color w:val="1A1A1A"/>
          <w:sz w:val="21"/>
          <w:szCs w:val="21"/>
        </w:rPr>
        <w:t xml:space="preserve"> (der jeweils vorrangige geht dem nachrangigen vor): (a) Auftragsformular / Leistungsschein, (b) dieser Rahmenvertrag, (c) Anlage C (SLA), (d) Anlage A (Leistungsbeschreibung), (e) Anlage D (Abnahmeprotokoll), (f) AGB (B2B).</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der Rangfolge nach Absatz (4) hat </w:t>
      </w:r>
      <w:r>
        <w:rPr>
          <w:rFonts w:ascii="Arial" w:cs="Arial" w:eastAsia="Arial" w:hAnsi="Arial"/>
          <w:b/>
          <w:bCs/>
          <w:i w:val="false"/>
          <w:iCs w:val="false"/>
          <w:color w:val="1A1A1A"/>
          <w:sz w:val="21"/>
          <w:szCs w:val="21"/>
        </w:rPr>
        <w:t xml:space="preserve">Anlage B (AVV) Sachvorrang für sämtliche Fragen des Datenschutzes und der Auftragsverarbeitung</w:t>
      </w:r>
      <w:r>
        <w:rPr>
          <w:rFonts w:ascii="Arial" w:cs="Arial" w:eastAsia="Arial" w:hAnsi="Arial"/>
          <w:b w:val="false"/>
          <w:bCs w:val="false"/>
          <w:i w:val="false"/>
          <w:iCs w:val="false"/>
          <w:color w:val="1A1A1A"/>
          <w:sz w:val="21"/>
          <w:szCs w:val="21"/>
        </w:rPr>
        <w:t xml:space="preserve">; insoweit gehen die Regelungen der Anlage B allen übrigen Vertragsdokumenten vor.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Individuell zwischen den Parteien ausgehandelte Abreden haben stets Vorrang vor entgegenstehenden Regelungen dieses Rahmenvertrags und der Anlagen (§ 305b BGB).</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Vertragsschluss und Nachweis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Verträge kommen durch Unterzeichnung des Auftragsformulars durch beide Parteien oder durch übereinstimmende Erklärungen in Textform (§ 126b BGB) zustande. Eine qualifizierte oder fortgeschrittene elektronische Signatur im Sinne der eIDAS-Verordnung (VO (EU) Nr. 910/2014) steht der Textform gleich.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Erklärungen, Freigaben und Weisungen des Kunden im laufenden Betrieb (insbesondere nach § 6 und § 7) können in Textform, per E-Mail oder über ein von NexAI bereitgestelltes Ticket-/Freigabesystem erfolgen.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dokumentiert wesentliche vertragsrelevante Erklärungen, Freigaben und Weisungen des Kunden revisionssicher und stellt dem Kunden auf Verlangen einen Auszug zur Verfügung.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Leistungen: Projekt- und Betriebsleistungen</w:t>
      </w:r>
    </w:p>
    <w:p>
      <w:pPr>
        <w:pStyle w:val="Heading2"/>
        <w:keepNext/>
        <w:spacing w:after="80" w:before="160"/>
      </w:pPr>
      <w:r>
        <w:rPr>
          <w:rFonts w:ascii="Arial" w:cs="Arial" w:eastAsia="Arial" w:hAnsi="Arial"/>
          <w:b/>
          <w:bCs/>
          <w:i w:val="false"/>
          <w:iCs w:val="false"/>
          <w:color w:val="0B0B0F"/>
          <w:sz w:val="21"/>
          <w:szCs w:val="21"/>
        </w:rPr>
        <w:t xml:space="preserve">(1) Projektleistungen (Werkvertrag)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Einmalige Werkleistungen — insbesondere die Erstellung von Websites sowie die Ersteinrichtung und Konfiguration von Agenten (nachfolgend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richten sich nach Werkvertragsrecht (§§ 631 ff. BGB). Geschuldet ist die Herbeiführung des im Auftragsformular / in Anlage A beschriebenen Erfolgs.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Projektleistungen werden nach Fertigstellung gemäß dem Verfahren der </w:t>
      </w:r>
      <w:r>
        <w:rPr>
          <w:rFonts w:ascii="Arial" w:cs="Arial" w:eastAsia="Arial" w:hAnsi="Arial"/>
          <w:b/>
          <w:bCs/>
          <w:i w:val="false"/>
          <w:iCs w:val="false"/>
          <w:color w:val="1A1A1A"/>
          <w:sz w:val="21"/>
          <w:szCs w:val="21"/>
        </w:rPr>
        <w:t xml:space="preserve">Anlage D (Abnahmeprotokoll)</w:t>
      </w:r>
      <w:r>
        <w:rPr>
          <w:rFonts w:ascii="Arial" w:cs="Arial" w:eastAsia="Arial" w:hAnsi="Arial"/>
          <w:b w:val="false"/>
          <w:bCs w:val="false"/>
          <w:i w:val="false"/>
          <w:iCs w:val="false"/>
          <w:color w:val="1A1A1A"/>
          <w:sz w:val="21"/>
          <w:szCs w:val="21"/>
        </w:rPr>
        <w:t xml:space="preserve"> abgenommen. Nimmt der Kunde die im Wesentlichen vertragsgemäße Leistung nicht innerhalb der in Anlage D genannten Frist ab oder nutzt er sie produktiv, gilt die Abnahme als erfolgt; § 640 Abs. 2 BGB bleibt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Projektleistungen beträgt die </w:t>
      </w:r>
      <w:r>
        <w:rPr>
          <w:rFonts w:ascii="Arial" w:cs="Arial" w:eastAsia="Arial" w:hAnsi="Arial"/>
          <w:b/>
          <w:bCs/>
          <w:i w:val="false"/>
          <w:iCs w:val="false"/>
          <w:color w:val="1A1A1A"/>
          <w:sz w:val="21"/>
          <w:szCs w:val="21"/>
        </w:rPr>
        <w:t xml:space="preserve">Gewährleistungsfrist ein (1) Jahr ab Abnahme</w:t>
      </w:r>
      <w:r>
        <w:rPr>
          <w:rFonts w:ascii="Arial" w:cs="Arial" w:eastAsia="Arial" w:hAnsi="Arial"/>
          <w:b w:val="false"/>
          <w:bCs w:val="false"/>
          <w:i w:val="false"/>
          <w:iCs w:val="false"/>
          <w:color w:val="1A1A1A"/>
          <w:sz w:val="21"/>
          <w:szCs w:val="21"/>
        </w:rPr>
        <w:t xml:space="preserve">. Dies gilt nicht für Schäden aus der Verletzung des Lebens, des Körpers oder der Gesundheit, für Vorsatz und grobe Fahrlässigkeit, für arglistig verschwiegene Mängel sowie für Ansprüche nach dem Produkthaftungsgesetz; insoweit gelten die gesetzlichen Fristen.</w:t>
      </w:r>
    </w:p>
    <w:p>
      <w:pPr>
        <w:pStyle w:val="Heading2"/>
        <w:keepNext/>
        <w:spacing w:after="80" w:before="160"/>
      </w:pPr>
      <w:r>
        <w:rPr>
          <w:rFonts w:ascii="Arial" w:cs="Arial" w:eastAsia="Arial" w:hAnsi="Arial"/>
          <w:b/>
          <w:bCs/>
          <w:i w:val="false"/>
          <w:iCs w:val="false"/>
          <w:color w:val="0B0B0F"/>
          <w:sz w:val="21"/>
          <w:szCs w:val="21"/>
        </w:rPr>
        <w:t xml:space="preserve">(2) Betriebsleistungen (Dienstvertrag)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laufende Betrieb, die Wartung, das Hosting und der Support der Agenten (nachfolgend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richten sich nach Dienstvertragsrecht (§ 611 BGB). Geschuldet ist das fachgerechte Tätigwerden nach den anerkannten Regeln der Technik, </w:t>
      </w:r>
      <w:r>
        <w:rPr>
          <w:rFonts w:ascii="Arial" w:cs="Arial" w:eastAsia="Arial" w:hAnsi="Arial"/>
          <w:b/>
          <w:bCs/>
          <w:i w:val="false"/>
          <w:iCs w:val="false"/>
          <w:color w:val="1A1A1A"/>
          <w:sz w:val="21"/>
          <w:szCs w:val="21"/>
        </w:rPr>
        <w:t xml:space="preserve">nicht ein bestimmter Erfolg</w:t>
      </w:r>
      <w:r>
        <w:rPr>
          <w:rFonts w:ascii="Arial" w:cs="Arial" w:eastAsia="Arial" w:hAnsi="Arial"/>
          <w:b w:val="false"/>
          <w:bCs w:val="false"/>
          <w:i w:val="false"/>
          <w:iCs w:val="false"/>
          <w:color w:val="1A1A1A"/>
          <w:sz w:val="21"/>
          <w:szCs w:val="21"/>
        </w:rPr>
        <w:t xml:space="preserve"> (z. B. eine bestimmte Zahl an Terminen, Leads, Abschlüssen oder Umsätzen).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Umfang, Verfügbarkeitsziele, Reaktionszeiten und Wartungsfenster der Betriebsleistungen ergeben sich aus Anlage A und Anlage C (SLA).</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KI-Systeme, Funktionsweise und KI-Transparenz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Verfahren (u. a. generative Sprach- und Sprachverarbeitungsmodelle). Ihre Ausgaben sind </w:t>
      </w:r>
      <w:r>
        <w:rPr>
          <w:rFonts w:ascii="Arial" w:cs="Arial" w:eastAsia="Arial" w:hAnsi="Arial"/>
          <w:b/>
          <w:bCs/>
          <w:i w:val="false"/>
          <w:iCs w:val="false"/>
          <w:color w:val="1A1A1A"/>
          <w:sz w:val="21"/>
          <w:szCs w:val="21"/>
        </w:rPr>
        <w:t xml:space="preserve">naturgemäß nicht in jedem Einzelfall fehlerfrei, vollständig oder inhaltlich zutreffend</w:t>
      </w:r>
      <w:r>
        <w:rPr>
          <w:rFonts w:ascii="Arial" w:cs="Arial" w:eastAsia="Arial" w:hAnsi="Arial"/>
          <w:b w:val="false"/>
          <w:bCs w:val="false"/>
          <w:i w:val="false"/>
          <w:iCs w:val="false"/>
          <w:color w:val="1A1A1A"/>
          <w:sz w:val="21"/>
          <w:szCs w:val="21"/>
        </w:rPr>
        <w:t xml:space="preserve">. NexAI schuldet keine Fehlerfreiheit der Einzelausgaben.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für den bestimmungsgemäßen Einsatz der Agenten in seinen Prozessen verantwortlich und hat ausgabekritische Ergebnisse (insbesondere solche mit rechtlicher, finanzieller oder gesundheitlicher Relevanz) eigenverantwortlich zu prüfen bzw. durch geeignete organisatorische Maßnahmen abzusichern.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Kennzeichnung der KI-gestützten Interaktion und Inhalte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 insbesondere der Hinweis, dass der Endnutzer mit einem KI-System interagiert bzw. dass Inhalte KI-generiert sind — ist </w:t>
      </w:r>
      <w:r>
        <w:rPr>
          <w:rFonts w:ascii="Arial" w:cs="Arial" w:eastAsia="Arial" w:hAnsi="Arial"/>
          <w:b/>
          <w:bCs/>
          <w:i w:val="false"/>
          <w:iCs w:val="false"/>
          <w:color w:val="1A1A1A"/>
          <w:sz w:val="21"/>
          <w:szCs w:val="21"/>
        </w:rPr>
        <w:t xml:space="preserve">verbindlicher, nicht abschaltbarer Leistungsbestandteil</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ist nicht berechtigt, diese Kennzeichnung, die Pflicht-Ansage oder sonstige Transparenzhinweise zu unterdrücken, zu entfernen, zu verfälschen oder zu umgehen. Ein Verstoß berechtigt NexAI zur vorübergehenden Deaktivierung des betroffenen Agenten nach § 17.</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Aufzeichnung und Transkription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Aufzeichnung und Transkription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Sie erfolgt ausschließlich auf ausdrückliche, dokumentierte Weisung des Kunden in Textform.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Wird eine Aufzeichnung oder Transkription auf Weisung des Kunden aktiviert, erfolgt dies stets mit einer </w:t>
      </w:r>
      <w:r>
        <w:rPr>
          <w:rFonts w:ascii="Arial" w:cs="Arial" w:eastAsia="Arial" w:hAnsi="Arial"/>
          <w:b/>
          <w:bCs/>
          <w:i w:val="false"/>
          <w:iCs w:val="false"/>
          <w:color w:val="1A1A1A"/>
          <w:sz w:val="21"/>
          <w:szCs w:val="21"/>
        </w:rPr>
        <w:t xml:space="preserve">Pflicht-Ansage</w:t>
      </w:r>
      <w:r>
        <w:rPr>
          <w:rFonts w:ascii="Arial" w:cs="Arial" w:eastAsia="Arial" w:hAnsi="Arial"/>
          <w:b w:val="false"/>
          <w:bCs w:val="false"/>
          <w:i w:val="false"/>
          <w:iCs w:val="false"/>
          <w:color w:val="1A1A1A"/>
          <w:sz w:val="21"/>
          <w:szCs w:val="21"/>
        </w:rPr>
        <w:t xml:space="preserve"> gegenüber dem Endnutzer (KI-Hinweis nach § 4 sowie zusätzlich ein Aufzeichnungshinweis). Diese Ansage ist nicht abschaltbar.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als Verantwortlicher dafür verantwortlich, dass für eine Aufzeichnung/Transkription eine tragfähige Rechtsgrundlage besteht (insbesondere Einwilligung der Endnutzer, soweit erforderlich) und die betroffenen Personen ordnungsgemäß informiert werden. § 17 gilt entsprechend.</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Automatisierte Erklärungen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dienen der Auskunft, Information, Terminvereinbarung und Vorqualifizierung. Sie sind </w:t>
      </w:r>
      <w:r>
        <w:rPr>
          <w:rFonts w:ascii="Arial" w:cs="Arial" w:eastAsia="Arial" w:hAnsi="Arial"/>
          <w:b/>
          <w:bCs/>
          <w:i w:val="false"/>
          <w:iCs w:val="false"/>
          <w:color w:val="1A1A1A"/>
          <w:sz w:val="21"/>
          <w:szCs w:val="21"/>
        </w:rPr>
        <w:t xml:space="preserve">nicht bevollmächtigt, rechtsverbindliche Erklärungen abzugeben</w:t>
      </w:r>
      <w:r>
        <w:rPr>
          <w:rFonts w:ascii="Arial" w:cs="Arial" w:eastAsia="Arial" w:hAnsi="Arial"/>
          <w:b w:val="false"/>
          <w:bCs w:val="false"/>
          <w:i w:val="false"/>
          <w:iCs w:val="false"/>
          <w:color w:val="1A1A1A"/>
          <w:sz w:val="21"/>
          <w:szCs w:val="21"/>
        </w:rPr>
        <w:t xml:space="preserve"> — insbesondere keine verbindlichen Preis- oder Konditionszusagen, keine Bestellungen und keinen Vertragsschluss namens des Kunden oder namens NexAIs.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stellt sicher, dass Prozesse, in die Agenten eingebunden sind, keine automatisierte rechtsverbindliche Bindung ohne menschliche Bestätigung vorsehen, soweit dies nicht ausdrücklich und gesondert vereinbart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Äußerungen eines für den Kunden betriebenen Agenten im Rahmen der vereinbarten Aufgabe werden im Verhältnis der Parteien dem </w:t>
      </w:r>
      <w:r>
        <w:rPr>
          <w:rFonts w:ascii="Arial" w:cs="Arial" w:eastAsia="Arial" w:hAnsi="Arial"/>
          <w:b/>
          <w:bCs/>
          <w:i w:val="false"/>
          <w:iCs w:val="false"/>
          <w:color w:val="1A1A1A"/>
          <w:sz w:val="21"/>
          <w:szCs w:val="21"/>
        </w:rPr>
        <w:t xml:space="preserve">Kunden zugerechnet</w:t>
      </w:r>
      <w:r>
        <w:rPr>
          <w:rFonts w:ascii="Arial" w:cs="Arial" w:eastAsia="Arial" w:hAnsi="Arial"/>
          <w:b w:val="false"/>
          <w:bCs w:val="false"/>
          <w:i w:val="false"/>
          <w:iCs w:val="false"/>
          <w:color w:val="1A1A1A"/>
          <w:sz w:val="21"/>
          <w:szCs w:val="21"/>
        </w:rPr>
        <w:t xml:space="preserve">; NexAI haftet hierfür nur nach Maßgabe von § 12.</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Vergütung und Zahlung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Alle Preise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 NexAI unterliegt der Regelbesteuerung; bis zur Erteilung einer USt-IdNr. wird die Steuernummer auf der Rechnung ausgewiesen.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Einrichtungs-/Setup-Gebühr</w:t>
      </w:r>
      <w:r>
        <w:rPr>
          <w:rFonts w:ascii="Arial" w:cs="Arial" w:eastAsia="Arial" w:hAnsi="Arial"/>
          <w:b w:val="false"/>
          <w:bCs w:val="false"/>
          <w:i w:val="false"/>
          <w:iCs w:val="false"/>
          <w:color w:val="1A1A1A"/>
          <w:sz w:val="21"/>
          <w:szCs w:val="21"/>
        </w:rPr>
        <w:t xml:space="preserve"> erhoben. Geschuldet ist ausschließlich ein </w:t>
      </w:r>
      <w:r>
        <w:rPr>
          <w:rFonts w:ascii="Arial" w:cs="Arial" w:eastAsia="Arial" w:hAnsi="Arial"/>
          <w:b/>
          <w:bCs/>
          <w:i w:val="false"/>
          <w:iCs w:val="false"/>
          <w:color w:val="1A1A1A"/>
          <w:sz w:val="21"/>
          <w:szCs w:val="21"/>
        </w:rPr>
        <w:t xml:space="preserve">monatlicher oder — nach Wahl im Auftragsformular — jährlicher Beitrag</w:t>
      </w:r>
      <w:r>
        <w:rPr>
          <w:rFonts w:ascii="Arial" w:cs="Arial" w:eastAsia="Arial" w:hAnsi="Arial"/>
          <w:b w:val="false"/>
          <w:bCs w:val="false"/>
          <w:i w:val="false"/>
          <w:iCs w:val="false"/>
          <w:color w:val="1A1A1A"/>
          <w:sz w:val="21"/>
          <w:szCs w:val="21"/>
        </w:rPr>
        <w:t xml:space="preserve"> gemäß Auftragsformular.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an Nutzung enthalten (z. B. Gesprächsminuten, Nachrichten, Vorgänge). Nutzung über das Freikontingent hinaus (</w:t>
      </w:r>
      <w:r>
        <w:rPr>
          <w:rFonts w:ascii="Arial" w:cs="Arial" w:eastAsia="Arial" w:hAnsi="Arial"/>
          <w:b/>
          <w:bCs/>
          <w:i w:val="false"/>
          <w:iCs w:val="false"/>
          <w:color w:val="1A1A1A"/>
          <w:sz w:val="21"/>
          <w:szCs w:val="21"/>
        </w:rPr>
        <w:t xml:space="preserve">Mehrverbrauch / Overage</w:t>
      </w:r>
      <w:r>
        <w:rPr>
          <w:rFonts w:ascii="Arial" w:cs="Arial" w:eastAsia="Arial" w:hAnsi="Arial"/>
          <w:b w:val="false"/>
          <w:bCs w:val="false"/>
          <w:i w:val="false"/>
          <w:iCs w:val="false"/>
          <w:color w:val="1A1A1A"/>
          <w:sz w:val="21"/>
          <w:szCs w:val="21"/>
        </w:rPr>
        <w:t xml:space="preserve">) wird zum im Auftragsformular vereinbarten Netto-Einheitspreis (z. B. "____ EUR/Min.")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Mehrverbrauch wird nachgelagert mit dem </w:t>
      </w:r>
      <w:r>
        <w:rPr>
          <w:rFonts w:ascii="Arial" w:cs="Arial" w:eastAsia="Arial" w:hAnsi="Arial"/>
          <w:b/>
          <w:bCs/>
          <w:i w:val="false"/>
          <w:iCs w:val="false"/>
          <w:color w:val="1A1A1A"/>
          <w:sz w:val="21"/>
          <w:szCs w:val="21"/>
        </w:rPr>
        <w:t xml:space="preserve">Folgemonatsbeitrag</w:t>
      </w:r>
      <w:r>
        <w:rPr>
          <w:rFonts w:ascii="Arial" w:cs="Arial" w:eastAsia="Arial" w:hAnsi="Arial"/>
          <w:b w:val="false"/>
          <w:bCs w:val="false"/>
          <w:i w:val="false"/>
          <w:iCs w:val="false"/>
          <w:color w:val="1A1A1A"/>
          <w:sz w:val="21"/>
          <w:szCs w:val="21"/>
        </w:rPr>
        <w:t xml:space="preserve"> abgerechnet. NexAI stellt auf Verlangen einen </w:t>
      </w:r>
      <w:r>
        <w:rPr>
          <w:rFonts w:ascii="Arial" w:cs="Arial" w:eastAsia="Arial" w:hAnsi="Arial"/>
          <w:b/>
          <w:bCs/>
          <w:i w:val="false"/>
          <w:iCs w:val="false"/>
          <w:color w:val="1A1A1A"/>
          <w:sz w:val="21"/>
          <w:szCs w:val="21"/>
        </w:rPr>
        <w:t xml:space="preserve">Einzelverbindungs-/Nutzungsnachweis</w:t>
      </w:r>
      <w:r>
        <w:rPr>
          <w:rFonts w:ascii="Arial" w:cs="Arial" w:eastAsia="Arial" w:hAnsi="Arial"/>
          <w:b w:val="false"/>
          <w:bCs w:val="false"/>
          <w:i w:val="false"/>
          <w:iCs w:val="false"/>
          <w:color w:val="1A1A1A"/>
          <w:sz w:val="21"/>
          <w:szCs w:val="21"/>
        </w:rPr>
        <w:t xml:space="preserve"> zur Verfügung. Je Agent kann ein technisches EUR-Spend-Cap vereinbart werden; bei Erreichen des Caps ist NexAI berechtigt, die Weiterleistung bis zur Freigabe eines höheren Caps auszusetzen.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Überschreitet der Mehrverbrauch eine im Auftragsformular festgelegte Overage-Schwelle, ist der darüber hinausgehende Betrag </w:t>
      </w:r>
      <w:r>
        <w:rPr>
          <w:rFonts w:ascii="Arial" w:cs="Arial" w:eastAsia="Arial" w:hAnsi="Arial"/>
          <w:b/>
          <w:bCs/>
          <w:i w:val="false"/>
          <w:iCs w:val="false"/>
          <w:color w:val="1A1A1A"/>
          <w:sz w:val="21"/>
          <w:szCs w:val="21"/>
        </w:rPr>
        <w:t xml:space="preserve">sofort fällig</w:t>
      </w:r>
      <w:r>
        <w:rPr>
          <w:rFonts w:ascii="Arial" w:cs="Arial" w:eastAsia="Arial" w:hAnsi="Arial"/>
          <w:b w:val="false"/>
          <w:bCs w:val="false"/>
          <w:i w:val="false"/>
          <w:iCs w:val="false"/>
          <w:color w:val="1A1A1A"/>
          <w:sz w:val="21"/>
          <w:szCs w:val="21"/>
        </w:rPr>
        <w:t xml:space="preserve"> und kann zwischenabgerechnet werden.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Der jährliche Beitrag ist im Voraus für die jeweilige Laufzeit fällig; der monatliche Beitrag ist im Voraus zu Beginn des jeweiligen Monats fällig.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Die Zahlung erfolgt nach Wahl des Kunden per </w:t>
      </w:r>
      <w:r>
        <w:rPr>
          <w:rFonts w:ascii="Arial" w:cs="Arial" w:eastAsia="Arial" w:hAnsi="Arial"/>
          <w:b/>
          <w:bCs/>
          <w:i w:val="false"/>
          <w:iCs w:val="false"/>
          <w:color w:val="1A1A1A"/>
          <w:sz w:val="21"/>
          <w:szCs w:val="21"/>
        </w:rPr>
        <w:t xml:space="preserve">SEPA-Firmenlastschrift (B2B-Firmenlastschriftmandat)</w:t>
      </w:r>
      <w:r>
        <w:rPr>
          <w:rFonts w:ascii="Arial" w:cs="Arial" w:eastAsia="Arial" w:hAnsi="Arial"/>
          <w:b w:val="false"/>
          <w:bCs w:val="false"/>
          <w:i w:val="false"/>
          <w:iCs w:val="false"/>
          <w:color w:val="1A1A1A"/>
          <w:sz w:val="21"/>
          <w:szCs w:val="21"/>
        </w:rPr>
        <w:t xml:space="preserve"> oder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auf das in der Rechnung genannte Konto. Rechnungen sind, sofern nichts anderes vereinbart ist, ohne Abzug binnen 14 Tagen ab Zugang zur Zahlung fällig.</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Bei Zahlungsverzug schuldet der Kunde Verzugszinsen in Höhe von </w:t>
      </w:r>
      <w:r>
        <w:rPr>
          <w:rFonts w:ascii="Arial" w:cs="Arial" w:eastAsia="Arial" w:hAnsi="Arial"/>
          <w:b/>
          <w:bCs/>
          <w:i w:val="false"/>
          <w:iCs w:val="false"/>
          <w:color w:val="1A1A1A"/>
          <w:sz w:val="21"/>
          <w:szCs w:val="21"/>
        </w:rPr>
        <w:t xml:space="preserve">neun (9) Prozentpunkten über dem Basiszinssatz</w:t>
      </w:r>
      <w:r>
        <w:rPr>
          <w:rFonts w:ascii="Arial" w:cs="Arial" w:eastAsia="Arial" w:hAnsi="Arial"/>
          <w:b w:val="false"/>
          <w:bCs w:val="false"/>
          <w:i w:val="false"/>
          <w:iCs w:val="false"/>
          <w:color w:val="1A1A1A"/>
          <w:sz w:val="21"/>
          <w:szCs w:val="21"/>
        </w:rPr>
        <w:t xml:space="preserve"> sowie eine Pauschale von </w:t>
      </w:r>
      <w:r>
        <w:rPr>
          <w:rFonts w:ascii="Arial" w:cs="Arial" w:eastAsia="Arial" w:hAnsi="Arial"/>
          <w:b/>
          <w:bCs/>
          <w:i w:val="false"/>
          <w:iCs w:val="false"/>
          <w:color w:val="1A1A1A"/>
          <w:sz w:val="21"/>
          <w:szCs w:val="21"/>
        </w:rPr>
        <w:t xml:space="preserve">40 EUR</w:t>
      </w:r>
      <w:r>
        <w:rPr>
          <w:rFonts w:ascii="Arial" w:cs="Arial" w:eastAsia="Arial" w:hAnsi="Arial"/>
          <w:b w:val="false"/>
          <w:bCs w:val="false"/>
          <w:i w:val="false"/>
          <w:iCs w:val="false"/>
          <w:color w:val="1A1A1A"/>
          <w:sz w:val="21"/>
          <w:szCs w:val="21"/>
        </w:rPr>
        <w:t xml:space="preserve"> (§ 288 Abs. 2, Abs. 5 BGB). Die Geltendmachung eines weitergehenden Schadens bleibt vorbehalten; die Pauschale ist auf einen geschuldeten Schadensersatz anzurechnen, soweit der Schaden in Kosten der Rechtsverfolgung begründet ist.</w:t>
      </w:r>
    </w:p>
    <w:p>
      <w:pPr>
        <w:pStyle w:val="Heading2"/>
        <w:keepNext/>
        <w:spacing w:after="80" w:before="160"/>
      </w:pPr>
      <w:r>
        <w:rPr>
          <w:rFonts w:ascii="Arial" w:cs="Arial" w:eastAsia="Arial" w:hAnsi="Arial"/>
          <w:b/>
          <w:bCs/>
          <w:i w:val="false"/>
          <w:iCs w:val="false"/>
          <w:color w:val="0B0B0F"/>
          <w:sz w:val="21"/>
          <w:szCs w:val="21"/>
        </w:rPr>
        <w:t xml:space="preserve">(9) Preisanpassung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die Beiträge und Einheitspreise zur Anpassung an veränderte Kosten (insbesondere Kosten der Subunternehmer / Drittdienste, Personal-, Energie- und Infrastrukturkosten) anzupassen. Kostensenkungen sind in gleichem Maße weiterzugeben (</w:t>
      </w:r>
      <w:r>
        <w:rPr>
          <w:rFonts w:ascii="Arial" w:cs="Arial" w:eastAsia="Arial" w:hAnsi="Arial"/>
          <w:b/>
          <w:bCs/>
          <w:i w:val="false"/>
          <w:iCs w:val="false"/>
          <w:color w:val="1A1A1A"/>
          <w:sz w:val="21"/>
          <w:szCs w:val="21"/>
        </w:rPr>
        <w:t xml:space="preserve">Symmetrie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Preisanpassungen werden dem Kunden mit einer Frist von </w:t>
      </w:r>
      <w:r>
        <w:rPr>
          <w:rFonts w:ascii="Arial" w:cs="Arial" w:eastAsia="Arial" w:hAnsi="Arial"/>
          <w:b/>
          <w:bCs/>
          <w:i w:val="false"/>
          <w:iCs w:val="false"/>
          <w:color w:val="1A1A1A"/>
          <w:sz w:val="21"/>
          <w:szCs w:val="21"/>
        </w:rPr>
        <w:t xml:space="preserve">sechs (6) Wochen</w:t>
      </w:r>
      <w:r>
        <w:rPr>
          <w:rFonts w:ascii="Arial" w:cs="Arial" w:eastAsia="Arial" w:hAnsi="Arial"/>
          <w:b w:val="false"/>
          <w:bCs w:val="false"/>
          <w:i w:val="false"/>
          <w:iCs w:val="false"/>
          <w:color w:val="1A1A1A"/>
          <w:sz w:val="21"/>
          <w:szCs w:val="21"/>
        </w:rPr>
        <w:t xml:space="preserve"> vor Wirksamwerden in Textform angekündigt. Eine </w:t>
      </w:r>
      <w:r>
        <w:rPr>
          <w:rFonts w:ascii="Arial" w:cs="Arial" w:eastAsia="Arial" w:hAnsi="Arial"/>
          <w:b/>
          <w:bCs/>
          <w:i w:val="false"/>
          <w:iCs w:val="false"/>
          <w:color w:val="1A1A1A"/>
          <w:sz w:val="21"/>
          <w:szCs w:val="21"/>
        </w:rPr>
        <w:t xml:space="preserve">Zustimmungsfiktion findet nicht statt</w:t>
      </w:r>
      <w:r>
        <w:rPr>
          <w:rFonts w:ascii="Arial" w:cs="Arial" w:eastAsia="Arial" w:hAnsi="Arial"/>
          <w:b w:val="false"/>
          <w:bCs w:val="false"/>
          <w:i w:val="false"/>
          <w:iCs w:val="false"/>
          <w:color w:val="1A1A1A"/>
          <w:sz w:val="21"/>
          <w:szCs w:val="21"/>
        </w:rPr>
        <w:t xml:space="preserve">; die Anpassung wird nach Ablauf der Ankündigungsfrist wirksam, wenn der Kunde nicht von seinem Sonderkündigungsrecht Gebrauch macht.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Erhöht sich der Beitrag um </w:t>
      </w:r>
      <w:r>
        <w:rPr>
          <w:rFonts w:ascii="Arial" w:cs="Arial" w:eastAsia="Arial" w:hAnsi="Arial"/>
          <w:b/>
          <w:bCs/>
          <w:i w:val="false"/>
          <w:iCs w:val="false"/>
          <w:color w:val="1A1A1A"/>
          <w:sz w:val="21"/>
          <w:szCs w:val="21"/>
        </w:rPr>
        <w:t xml:space="preserve">mehr als 5 %</w:t>
      </w:r>
      <w:r>
        <w:rPr>
          <w:rFonts w:ascii="Arial" w:cs="Arial" w:eastAsia="Arial" w:hAnsi="Arial"/>
          <w:b w:val="false"/>
          <w:bCs w:val="false"/>
          <w:i w:val="false"/>
          <w:iCs w:val="false"/>
          <w:color w:val="1A1A1A"/>
          <w:sz w:val="21"/>
          <w:szCs w:val="21"/>
        </w:rPr>
        <w:t xml:space="preserve"> gegenüber dem zuletzt geschuldeten Beitrag, steht dem Kunden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zum Zeitpunkt des Wirksamwerdens der Erhöhung zu; die Kündigung ist in Textform bis zum Wirksamwerden zu erklären. Macht der Kunde von seinem Sonderkündigungsrecht Gebrauch, gilt bis zum Wirksamwerden der Kündigung der bisherige Preis.</w:t>
      </w:r>
    </w:p>
    <w:p>
      <w:pPr>
        <w:pStyle w:val="Heading2"/>
        <w:keepNext/>
        <w:spacing w:after="80" w:before="160"/>
      </w:pPr>
      <w:r>
        <w:rPr>
          <w:rFonts w:ascii="Arial" w:cs="Arial" w:eastAsia="Arial" w:hAnsi="Arial"/>
          <w:b/>
          <w:bCs/>
          <w:i w:val="false"/>
          <w:iCs w:val="false"/>
          <w:color w:val="0B0B0F"/>
          <w:sz w:val="21"/>
          <w:szCs w:val="21"/>
        </w:rPr>
        <w:t xml:space="preserve">(10)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Bei Zahlungsverzug ist NexAI zur Aussetzung der Betriebsleistungen erst nach </w:t>
      </w:r>
      <w:r>
        <w:rPr>
          <w:rFonts w:ascii="Arial" w:cs="Arial" w:eastAsia="Arial" w:hAnsi="Arial"/>
          <w:b/>
          <w:bCs/>
          <w:i w:val="false"/>
          <w:iCs w:val="false"/>
          <w:color w:val="1A1A1A"/>
          <w:sz w:val="21"/>
          <w:szCs w:val="21"/>
        </w:rPr>
        <w:t xml:space="preserve">vorheriger Ankündigung und Ablauf einer Nachfrist von sieben (7) Tagen</w:t>
      </w:r>
      <w:r>
        <w:rPr>
          <w:rFonts w:ascii="Arial" w:cs="Arial" w:eastAsia="Arial" w:hAnsi="Arial"/>
          <w:b w:val="false"/>
          <w:bCs w:val="false"/>
          <w:i w:val="false"/>
          <w:iCs w:val="false"/>
          <w:color w:val="1A1A1A"/>
          <w:sz w:val="21"/>
          <w:szCs w:val="21"/>
        </w:rPr>
        <w:t xml:space="preserve"> berechtigt. Eine Aussetzung erfolgt </w:t>
      </w:r>
      <w:r>
        <w:rPr>
          <w:rFonts w:ascii="Arial" w:cs="Arial" w:eastAsia="Arial" w:hAnsi="Arial"/>
          <w:b/>
          <w:bCs/>
          <w:i w:val="false"/>
          <w:iCs w:val="false"/>
          <w:color w:val="1A1A1A"/>
          <w:sz w:val="21"/>
          <w:szCs w:val="21"/>
        </w:rPr>
        <w:t xml:space="preserve">ohne Löschung von Daten oder Konfigurationen</w:t>
      </w:r>
      <w:r>
        <w:rPr>
          <w:rFonts w:ascii="Arial" w:cs="Arial" w:eastAsia="Arial" w:hAnsi="Arial"/>
          <w:b w:val="false"/>
          <w:bCs w:val="false"/>
          <w:i w:val="false"/>
          <w:iCs w:val="false"/>
          <w:color w:val="1A1A1A"/>
          <w:sz w:val="21"/>
          <w:szCs w:val="21"/>
        </w:rPr>
        <w:t xml:space="preserve">; die Wiederaufnahme erfolgt unverzüglich nach Ausgleich des Rückstands.</w:t>
      </w:r>
    </w:p>
    <w:p>
      <w:pPr>
        <w:pStyle w:val="Heading2"/>
        <w:keepNext/>
        <w:spacing w:after="80" w:before="160"/>
      </w:pPr>
      <w:r>
        <w:rPr>
          <w:rFonts w:ascii="Arial" w:cs="Arial" w:eastAsia="Arial" w:hAnsi="Arial"/>
          <w:b/>
          <w:bCs/>
          <w:i w:val="false"/>
          <w:iCs w:val="false"/>
          <w:color w:val="0B0B0F"/>
          <w:sz w:val="21"/>
          <w:szCs w:val="21"/>
        </w:rPr>
        <w:t xml:space="preserve">(11)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kann nur mit </w:t>
      </w:r>
      <w:r>
        <w:rPr>
          <w:rFonts w:ascii="Arial" w:cs="Arial" w:eastAsia="Arial" w:hAnsi="Arial"/>
          <w:b/>
          <w:bCs/>
          <w:i w:val="false"/>
          <w:iCs w:val="false"/>
          <w:color w:val="1A1A1A"/>
          <w:sz w:val="21"/>
          <w:szCs w:val="21"/>
        </w:rPr>
        <w:t xml:space="preserve">unbestrittenen oder rechtskräftig festgestellten</w:t>
      </w:r>
      <w:r>
        <w:rPr>
          <w:rFonts w:ascii="Arial" w:cs="Arial" w:eastAsia="Arial" w:hAnsi="Arial"/>
          <w:b w:val="false"/>
          <w:bCs w:val="false"/>
          <w:i w:val="false"/>
          <w:iCs w:val="false"/>
          <w:color w:val="1A1A1A"/>
          <w:sz w:val="21"/>
          <w:szCs w:val="21"/>
        </w:rPr>
        <w:t xml:space="preserve"> Gegenforderungen aufrechnen. Ein Zurückbehaltungsrecht steht dem Kunden nur wegen Gegenansprüchen aus </w:t>
      </w:r>
      <w:r>
        <w:rPr>
          <w:rFonts w:ascii="Arial" w:cs="Arial" w:eastAsia="Arial" w:hAnsi="Arial"/>
          <w:b/>
          <w:bCs/>
          <w:i w:val="false"/>
          <w:iCs w:val="false"/>
          <w:color w:val="1A1A1A"/>
          <w:sz w:val="21"/>
          <w:szCs w:val="21"/>
        </w:rPr>
        <w:t xml:space="preserve">demselben Vertragsverhältnis</w:t>
      </w:r>
      <w:r>
        <w:rPr>
          <w:rFonts w:ascii="Arial" w:cs="Arial" w:eastAsia="Arial" w:hAnsi="Arial"/>
          <w:b w:val="false"/>
          <w:bCs w:val="false"/>
          <w:i w:val="false"/>
          <w:iCs w:val="false"/>
          <w:color w:val="1A1A1A"/>
          <w:sz w:val="21"/>
          <w:szCs w:val="21"/>
        </w:rPr>
        <w:t xml:space="preserve"> zu.</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Laufzeit und Kündigung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Wird im Auftragsformular ein monatlicher Beitrag gewählt, ist der Vertrag mit einer Frist von </w:t>
      </w:r>
      <w:r>
        <w:rPr>
          <w:rFonts w:ascii="Arial" w:cs="Arial" w:eastAsia="Arial" w:hAnsi="Arial"/>
          <w:b/>
          <w:bCs/>
          <w:i w:val="false"/>
          <w:iCs w:val="false"/>
          <w:color w:val="1A1A1A"/>
          <w:sz w:val="21"/>
          <w:szCs w:val="21"/>
        </w:rPr>
        <w:t xml:space="preserve">einem (1) Monat zum Monatsende</w:t>
      </w:r>
      <w:r>
        <w:rPr>
          <w:rFonts w:ascii="Arial" w:cs="Arial" w:eastAsia="Arial" w:hAnsi="Arial"/>
          <w:b w:val="false"/>
          <w:bCs w:val="false"/>
          <w:i w:val="false"/>
          <w:iCs w:val="false"/>
          <w:color w:val="1A1A1A"/>
          <w:sz w:val="21"/>
          <w:szCs w:val="21"/>
        </w:rPr>
        <w:t xml:space="preserve"> ordentlich kündbar.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Wird ein jährlicher Beitrag gewählt, beträgt die </w:t>
      </w:r>
      <w:r>
        <w:rPr>
          <w:rFonts w:ascii="Arial" w:cs="Arial" w:eastAsia="Arial" w:hAnsi="Arial"/>
          <w:b/>
          <w:bCs/>
          <w:i w:val="false"/>
          <w:iCs w:val="false"/>
          <w:color w:val="1A1A1A"/>
          <w:sz w:val="21"/>
          <w:szCs w:val="21"/>
        </w:rPr>
        <w:t xml:space="preserve">Mindestlaufzeit zwölf (12) Monate</w:t>
      </w:r>
      <w:r>
        <w:rPr>
          <w:rFonts w:ascii="Arial" w:cs="Arial" w:eastAsia="Arial" w:hAnsi="Arial"/>
          <w:b w:val="false"/>
          <w:bCs w:val="false"/>
          <w:i w:val="false"/>
          <w:iCs w:val="false"/>
          <w:color w:val="1A1A1A"/>
          <w:sz w:val="21"/>
          <w:szCs w:val="21"/>
        </w:rPr>
        <w:t xml:space="preserve">. Der als Gegenleistung für die feste Laufzeit gewährte Rabatt wird bei vorzeitiger Beendigung nicht anteilig erstattet; eine </w:t>
      </w:r>
      <w:r>
        <w:rPr>
          <w:rFonts w:ascii="Arial" w:cs="Arial" w:eastAsia="Arial" w:hAnsi="Arial"/>
          <w:b/>
          <w:bCs/>
          <w:i w:val="false"/>
          <w:iCs w:val="false"/>
          <w:color w:val="1A1A1A"/>
          <w:sz w:val="21"/>
          <w:szCs w:val="21"/>
        </w:rPr>
        <w:t xml:space="preserve">anteilige Rückerstattung ist ausgeschlossen</w:t>
      </w:r>
      <w:r>
        <w:rPr>
          <w:rFonts w:ascii="Arial" w:cs="Arial" w:eastAsia="Arial" w:hAnsi="Arial"/>
          <w:b w:val="false"/>
          <w:bCs w:val="false"/>
          <w:i w:val="false"/>
          <w:iCs w:val="false"/>
          <w:color w:val="1A1A1A"/>
          <w:sz w:val="21"/>
          <w:szCs w:val="21"/>
        </w:rPr>
        <w:t xml:space="preserve"> (vorbehaltlich § 22). Der Vertrag verlängert sich automatisch um jeweils weitere zwölf (12) Monate, sofern er nicht mit einer Frist von </w:t>
      </w:r>
      <w:r>
        <w:rPr>
          <w:rFonts w:ascii="Arial" w:cs="Arial" w:eastAsia="Arial" w:hAnsi="Arial"/>
          <w:b/>
          <w:bCs/>
          <w:i w:val="false"/>
          <w:iCs w:val="false"/>
          <w:color w:val="1A1A1A"/>
          <w:sz w:val="21"/>
          <w:szCs w:val="21"/>
        </w:rPr>
        <w:t xml:space="preserve">einem (1) Monat zum Laufzeitende</w:t>
      </w:r>
      <w:r>
        <w:rPr>
          <w:rFonts w:ascii="Arial" w:cs="Arial" w:eastAsia="Arial" w:hAnsi="Arial"/>
          <w:b w:val="false"/>
          <w:bCs w:val="false"/>
          <w:i w:val="false"/>
          <w:iCs w:val="false"/>
          <w:color w:val="1A1A1A"/>
          <w:sz w:val="21"/>
          <w:szCs w:val="21"/>
        </w:rPr>
        <w:t xml:space="preserve"> in Textform gekündigt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Das Recht zur </w:t>
      </w:r>
      <w:r>
        <w:rPr>
          <w:rFonts w:ascii="Arial" w:cs="Arial" w:eastAsia="Arial" w:hAnsi="Arial"/>
          <w:b/>
          <w:bCs/>
          <w:i w:val="false"/>
          <w:iCs w:val="false"/>
          <w:color w:val="1A1A1A"/>
          <w:sz w:val="21"/>
          <w:szCs w:val="21"/>
        </w:rPr>
        <w:t xml:space="preserve">außerordentlichen Kündigung aus wichtigem Grund</w:t>
      </w:r>
      <w:r>
        <w:rPr>
          <w:rFonts w:ascii="Arial" w:cs="Arial" w:eastAsia="Arial" w:hAnsi="Arial"/>
          <w:b w:val="false"/>
          <w:bCs w:val="false"/>
          <w:i w:val="false"/>
          <w:iCs w:val="false"/>
          <w:color w:val="1A1A1A"/>
          <w:sz w:val="21"/>
          <w:szCs w:val="21"/>
        </w:rPr>
        <w:t xml:space="preserve"> (§ 314 BGB) bleibt für beide Parteien unberührt. Ein wichtiger Grund liegt für NexAI insbesondere vor, wenn (a) der Kunde mit Beiträgen in Höhe von </w:t>
      </w:r>
      <w:r>
        <w:rPr>
          <w:rFonts w:ascii="Arial" w:cs="Arial" w:eastAsia="Arial" w:hAnsi="Arial"/>
          <w:b/>
          <w:bCs/>
          <w:i w:val="false"/>
          <w:iCs w:val="false"/>
          <w:color w:val="1A1A1A"/>
          <w:sz w:val="21"/>
          <w:szCs w:val="21"/>
        </w:rPr>
        <w:t xml:space="preserve">mehr als zwei (2) Monatsbeiträgen</w:t>
      </w:r>
      <w:r>
        <w:rPr>
          <w:rFonts w:ascii="Arial" w:cs="Arial" w:eastAsia="Arial" w:hAnsi="Arial"/>
          <w:b w:val="false"/>
          <w:bCs w:val="false"/>
          <w:i w:val="false"/>
          <w:iCs w:val="false"/>
          <w:color w:val="1A1A1A"/>
          <w:sz w:val="21"/>
          <w:szCs w:val="21"/>
        </w:rPr>
        <w:t xml:space="preserve"> in Verzug ist und trotz Fristsetzung nicht ausgleicht, oder (b) der Kunde die Agenten trotz Abmahnung </w:t>
      </w:r>
      <w:r>
        <w:rPr>
          <w:rFonts w:ascii="Arial" w:cs="Arial" w:eastAsia="Arial" w:hAnsi="Arial"/>
          <w:b/>
          <w:bCs/>
          <w:i w:val="false"/>
          <w:iCs w:val="false"/>
          <w:color w:val="1A1A1A"/>
          <w:sz w:val="21"/>
          <w:szCs w:val="21"/>
        </w:rPr>
        <w:t xml:space="preserve">rechtswidrig nutzt</w:t>
      </w:r>
      <w:r>
        <w:rPr>
          <w:rFonts w:ascii="Arial" w:cs="Arial" w:eastAsia="Arial" w:hAnsi="Arial"/>
          <w:b w:val="false"/>
          <w:bCs w:val="false"/>
          <w:i w:val="false"/>
          <w:iCs w:val="false"/>
          <w:color w:val="1A1A1A"/>
          <w:sz w:val="21"/>
          <w:szCs w:val="21"/>
        </w:rPr>
        <w:t xml:space="preserve"> (insbesondere Verstoß gegen § 4, § 15, § 16 oder § 17).</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Jede Kündigung bedarf mindestens der Textform (§ 126b BGB).</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die für die Leistungserbringung erforderlichen Informationen, Inhalte, Zugänge, Freigaben und Ansprechpartner rechtzeitig, vollständig und in geeigneter Form zur Verfügung.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einen entscheidungsbefugten Ansprechpartner und erteilt Freigaben und Weisungen unverzüglich, um Verzögerungen zu vermeiden.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für die Richtigkeit und Rechtmäßigkeit der von ihm beigestellten Inhalte, Daten und Kontaktlisten verantwortlich und stellt sicher, dass deren Nutzung durch NexAI keine Rechte Dritter verletzt.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Kommt der Kunde seinen Mitwirkungspflichten nicht nach, verlängern sich vereinbarte Fristen angemessen; hierdurch entstehender Mehraufwand kann nach Ankündigung gesondert berechnet werden.</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von NexAI erstellten oder eingesetzten </w:t>
      </w:r>
      <w:r>
        <w:rPr>
          <w:rFonts w:ascii="Arial" w:cs="Arial" w:eastAsia="Arial" w:hAnsi="Arial"/>
          <w:b/>
          <w:bCs/>
          <w:i w:val="false"/>
          <w:iCs w:val="false"/>
          <w:color w:val="1A1A1A"/>
          <w:sz w:val="21"/>
          <w:szCs w:val="21"/>
        </w:rPr>
        <w:t xml:space="preserve">Prompts, Workflows, Konfigurationen, Skripte, Quellcodes, Modelle, Vorlagen und sonstigen Arbeitsergebnisse</w:t>
      </w:r>
      <w:r>
        <w:rPr>
          <w:rFonts w:ascii="Arial" w:cs="Arial" w:eastAsia="Arial" w:hAnsi="Arial"/>
          <w:b w:val="false"/>
          <w:bCs w:val="false"/>
          <w:i w:val="false"/>
          <w:iCs w:val="false"/>
          <w:color w:val="1A1A1A"/>
          <w:sz w:val="21"/>
          <w:szCs w:val="21"/>
        </w:rPr>
        <w:t xml:space="preserve"> — auch soweit sie individuell für den Kunden erstellt wurden — verbleiben einschließlich aller Rechte des geistigen Eigentums bei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erhält für die Dauer des Vertrags ein </w:t>
      </w:r>
      <w:r>
        <w:rPr>
          <w:rFonts w:ascii="Arial" w:cs="Arial" w:eastAsia="Arial" w:hAnsi="Arial"/>
          <w:b/>
          <w:bCs/>
          <w:i w:val="false"/>
          <w:iCs w:val="false"/>
          <w:color w:val="1A1A1A"/>
          <w:sz w:val="21"/>
          <w:szCs w:val="21"/>
        </w:rPr>
        <w:t xml:space="preserve">einfaches, nicht ausschließliches, nicht übertragbares und nicht unterlizenzierbares Nutzungsrecht</w:t>
      </w:r>
      <w:r>
        <w:rPr>
          <w:rFonts w:ascii="Arial" w:cs="Arial" w:eastAsia="Arial" w:hAnsi="Arial"/>
          <w:b w:val="false"/>
          <w:bCs w:val="false"/>
          <w:i w:val="false"/>
          <w:iCs w:val="false"/>
          <w:color w:val="1A1A1A"/>
          <w:sz w:val="21"/>
          <w:szCs w:val="21"/>
        </w:rPr>
        <w:t xml:space="preserve">, die Agenten und Arbeitsergebnisse im vereinbarten Umfang zu nutzen. Dieses Nutzungsrecht </w:t>
      </w:r>
      <w:r>
        <w:rPr>
          <w:rFonts w:ascii="Arial" w:cs="Arial" w:eastAsia="Arial" w:hAnsi="Arial"/>
          <w:b/>
          <w:bCs/>
          <w:i w:val="false"/>
          <w:iCs w:val="false"/>
          <w:color w:val="1A1A1A"/>
          <w:sz w:val="21"/>
          <w:szCs w:val="21"/>
        </w:rPr>
        <w:t xml:space="preserve">erlischt mit Beendigung</w:t>
      </w:r>
      <w:r>
        <w:rPr>
          <w:rFonts w:ascii="Arial" w:cs="Arial" w:eastAsia="Arial" w:hAnsi="Arial"/>
          <w:b w:val="false"/>
          <w:bCs w:val="false"/>
          <w:i w:val="false"/>
          <w:iCs w:val="false"/>
          <w:color w:val="1A1A1A"/>
          <w:sz w:val="21"/>
          <w:szCs w:val="21"/>
        </w:rPr>
        <w:t xml:space="preserve"> des jeweiligen Vertrags.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im Betrieb erzeugten </w:t>
      </w:r>
      <w:r>
        <w:rPr>
          <w:rFonts w:ascii="Arial" w:cs="Arial" w:eastAsia="Arial" w:hAnsi="Arial"/>
          <w:b/>
          <w:bCs/>
          <w:i w:val="false"/>
          <w:iCs w:val="false"/>
          <w:color w:val="1A1A1A"/>
          <w:sz w:val="21"/>
          <w:szCs w:val="21"/>
        </w:rPr>
        <w:t xml:space="preserve">Ergebnisdaten</w:t>
      </w:r>
      <w:r>
        <w:rPr>
          <w:rFonts w:ascii="Arial" w:cs="Arial" w:eastAsia="Arial" w:hAnsi="Arial"/>
          <w:b w:val="false"/>
          <w:bCs w:val="false"/>
          <w:i w:val="false"/>
          <w:iCs w:val="false"/>
          <w:color w:val="1A1A1A"/>
          <w:sz w:val="21"/>
          <w:szCs w:val="21"/>
        </w:rPr>
        <w:t xml:space="preserve"> (insbesondere Leads, Termine, Transkripte, Gesprächsprotokolle und sonstige geschäftliche Ergebnisdaten) sind inhaltlich dem </w:t>
      </w:r>
      <w:r>
        <w:rPr>
          <w:rFonts w:ascii="Arial" w:cs="Arial" w:eastAsia="Arial" w:hAnsi="Arial"/>
          <w:b/>
          <w:bCs/>
          <w:i w:val="false"/>
          <w:iCs w:val="false"/>
          <w:color w:val="1A1A1A"/>
          <w:sz w:val="21"/>
          <w:szCs w:val="21"/>
        </w:rPr>
        <w:t xml:space="preserve">Kunden zugeordnet</w:t>
      </w:r>
      <w:r>
        <w:rPr>
          <w:rFonts w:ascii="Arial" w:cs="Arial" w:eastAsia="Arial" w:hAnsi="Arial"/>
          <w:b w:val="false"/>
          <w:bCs w:val="false"/>
          <w:i w:val="false"/>
          <w:iCs w:val="false"/>
          <w:color w:val="1A1A1A"/>
          <w:sz w:val="21"/>
          <w:szCs w:val="21"/>
        </w:rPr>
        <w:t xml:space="preserve"> und werden ihm nach Maßgabe von § 21 herausgegeben bzw. exportiert.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Vom Kunden beigestellte Materialien, Marken, Inhalte und Daten (</w:t>
      </w:r>
      <w:r>
        <w:rPr>
          <w:rFonts w:ascii="Arial" w:cs="Arial" w:eastAsia="Arial" w:hAnsi="Arial"/>
          <w:b/>
          <w:bCs/>
          <w:i w:val="false"/>
          <w:iCs w:val="false"/>
          <w:color w:val="1A1A1A"/>
          <w:sz w:val="21"/>
          <w:szCs w:val="21"/>
        </w:rPr>
        <w:t xml:space="preserve">beigestellte Materialien</w:t>
      </w:r>
      <w:r>
        <w:rPr>
          <w:rFonts w:ascii="Arial" w:cs="Arial" w:eastAsia="Arial" w:hAnsi="Arial"/>
          <w:b w:val="false"/>
          <w:bCs w:val="false"/>
          <w:i w:val="false"/>
          <w:iCs w:val="false"/>
          <w:color w:val="1A1A1A"/>
          <w:sz w:val="21"/>
          <w:szCs w:val="21"/>
        </w:rPr>
        <w:t xml:space="preserve">) verbleiben im Eigentum bzw. in der Rechtsinhaberschaft des Kunden. Der Kunde räumt NexAI die zur Vertragserfüllung erforderlichen Nutzungsrechte hieran ein.</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Betriebsinfrastruktur und Accounts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zur Erbringung der Betriebsleistungen genutzten </w:t>
      </w:r>
      <w:r>
        <w:rPr>
          <w:rFonts w:ascii="Arial" w:cs="Arial" w:eastAsia="Arial" w:hAnsi="Arial"/>
          <w:b/>
          <w:bCs/>
          <w:i w:val="false"/>
          <w:iCs w:val="false"/>
          <w:color w:val="1A1A1A"/>
          <w:sz w:val="21"/>
          <w:szCs w:val="21"/>
        </w:rPr>
        <w:t xml:space="preserve">Accounts, Zugangsdaten, API-Schlüssel, Rufnummern und Infrastrukturkomponenten</w:t>
      </w:r>
      <w:r>
        <w:rPr>
          <w:rFonts w:ascii="Arial" w:cs="Arial" w:eastAsia="Arial" w:hAnsi="Arial"/>
          <w:b w:val="false"/>
          <w:bCs w:val="false"/>
          <w:i w:val="false"/>
          <w:iCs w:val="false"/>
          <w:color w:val="1A1A1A"/>
          <w:sz w:val="21"/>
          <w:szCs w:val="21"/>
        </w:rPr>
        <w:t xml:space="preserve"> sind </w:t>
      </w:r>
      <w:r>
        <w:rPr>
          <w:rFonts w:ascii="Arial" w:cs="Arial" w:eastAsia="Arial" w:hAnsi="Arial"/>
          <w:b/>
          <w:bCs/>
          <w:i w:val="false"/>
          <w:iCs w:val="false"/>
          <w:color w:val="1A1A1A"/>
          <w:sz w:val="21"/>
          <w:szCs w:val="21"/>
        </w:rPr>
        <w:t xml:space="preserve">Betriebsmittel der NexAI</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Herausgabeanspruch</w:t>
      </w:r>
      <w:r>
        <w:rPr>
          <w:rFonts w:ascii="Arial" w:cs="Arial" w:eastAsia="Arial" w:hAnsi="Arial"/>
          <w:b w:val="false"/>
          <w:bCs w:val="false"/>
          <w:i w:val="false"/>
          <w:iCs w:val="false"/>
          <w:color w:val="1A1A1A"/>
          <w:sz w:val="21"/>
          <w:szCs w:val="21"/>
        </w:rPr>
        <w:t xml:space="preserve"> des Kunden auf diese Betriebsmittel besteht nicht, vorbehaltlich Absatz (3) und § 21.</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gewährleistet eine </w:t>
      </w:r>
      <w:r>
        <w:rPr>
          <w:rFonts w:ascii="Arial" w:cs="Arial" w:eastAsia="Arial" w:hAnsi="Arial"/>
          <w:b/>
          <w:bCs/>
          <w:i w:val="false"/>
          <w:iCs w:val="false"/>
          <w:color w:val="1A1A1A"/>
          <w:sz w:val="21"/>
          <w:szCs w:val="21"/>
        </w:rPr>
        <w:t xml:space="preserve">logische Mandantentrennung</w:t>
      </w:r>
      <w:r>
        <w:rPr>
          <w:rFonts w:ascii="Arial" w:cs="Arial" w:eastAsia="Arial" w:hAnsi="Arial"/>
          <w:b w:val="false"/>
          <w:bCs w:val="false"/>
          <w:i w:val="false"/>
          <w:iCs w:val="false"/>
          <w:color w:val="1A1A1A"/>
          <w:sz w:val="21"/>
          <w:szCs w:val="21"/>
        </w:rPr>
        <w:t xml:space="preserve"> der Kundendaten. Die Einzelheiten der technischen und organisatorischen Maßnahmen ergeben sich aus Anlage B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Optional können auf Wunsch des Kunden </w:t>
      </w:r>
      <w:r>
        <w:rPr>
          <w:rFonts w:ascii="Arial" w:cs="Arial" w:eastAsia="Arial" w:hAnsi="Arial"/>
          <w:b/>
          <w:bCs/>
          <w:i w:val="false"/>
          <w:iCs w:val="false"/>
          <w:color w:val="1A1A1A"/>
          <w:sz w:val="21"/>
          <w:szCs w:val="21"/>
        </w:rPr>
        <w:t xml:space="preserve">kundeneigene Accounts</w:t>
      </w:r>
      <w:r>
        <w:rPr>
          <w:rFonts w:ascii="Arial" w:cs="Arial" w:eastAsia="Arial" w:hAnsi="Arial"/>
          <w:b w:val="false"/>
          <w:bCs w:val="false"/>
          <w:i w:val="false"/>
          <w:iCs w:val="false"/>
          <w:color w:val="1A1A1A"/>
          <w:sz w:val="21"/>
          <w:szCs w:val="21"/>
        </w:rPr>
        <w:t xml:space="preserve"> eingerichtet und genutzt werden. In diesem Fall stehen die betreffenden Accounts und Zugangsdaten im Eigentum bzw. in der Verfügungsbefugnis des Kunden; bei Vertragsende erfolgt eine Übergabe nach § 21.</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die nachfolgende, in ihren Stufen jeweils eigenständig geltende ("blue-pencil-feste")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(Stufe 1) Unbeschränkte Haftung:</w:t>
      </w:r>
      <w:r>
        <w:rPr>
          <w:rFonts w:ascii="Arial" w:cs="Arial" w:eastAsia="Arial" w:hAnsi="Arial"/>
          <w:b w:val="false"/>
          <w:bCs w:val="false"/>
          <w:i w:val="false"/>
          <w:iCs w:val="false"/>
          <w:color w:val="1A1A1A"/>
          <w:sz w:val="21"/>
          <w:szCs w:val="21"/>
        </w:rPr>
        <w:t xml:space="preserve"> NexAI haftet unbeschränkt bei Vorsatz und grober Fahrlässigkeit, bei der Verletzung des Lebens, des Körpers oder der Gesundheit, bei arglistigem Verschweigen eines Mangels, bei Übernahme einer Garantie sowie nach dem Produkthaftungsgesetz.</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(Stufe 2) Haftung bei einfacher Fahrlässigkeit:</w:t>
      </w:r>
      <w:r>
        <w:rPr>
          <w:rFonts w:ascii="Arial" w:cs="Arial" w:eastAsia="Arial" w:hAnsi="Arial"/>
          <w:b w:val="false"/>
          <w:bCs w:val="false"/>
          <w:i w:val="false"/>
          <w:iCs w:val="false"/>
          <w:color w:val="1A1A1A"/>
          <w:sz w:val="21"/>
          <w:szCs w:val="21"/>
        </w:rPr>
        <w:t xml:space="preserve"> Bei einfacher Fahrlässigkeit haftet NexAI nur bei Verletzung einer </w:t>
      </w:r>
      <w:r>
        <w:rPr>
          <w:rFonts w:ascii="Arial" w:cs="Arial" w:eastAsia="Arial" w:hAnsi="Arial"/>
          <w:b/>
          <w:bCs/>
          <w:i w:val="false"/>
          <w:iCs w:val="false"/>
          <w:color w:val="1A1A1A"/>
          <w:sz w:val="21"/>
          <w:szCs w:val="21"/>
        </w:rPr>
        <w:t xml:space="preserve">wesentlichen Vertragspflicht (Kardinalpflicht)</w:t>
      </w:r>
      <w:r>
        <w:rPr>
          <w:rFonts w:ascii="Arial" w:cs="Arial" w:eastAsia="Arial" w:hAnsi="Arial"/>
          <w:b w:val="false"/>
          <w:bCs w:val="false"/>
          <w:i w:val="false"/>
          <w:iCs w:val="false"/>
          <w:color w:val="1A1A1A"/>
          <w:sz w:val="21"/>
          <w:szCs w:val="21"/>
        </w:rPr>
        <w:t xml:space="preserve"> — d. h. einer Pflicht, deren Erfüllung die ordnungsgemäße Durchführung des Vertrags überhaupt erst ermöglicht und auf deren Einhaltung der Kunde regelmäßig vertrauen darf. In diesem Fall ist die Haftung auf den </w:t>
      </w:r>
      <w:r>
        <w:rPr>
          <w:rFonts w:ascii="Arial" w:cs="Arial" w:eastAsia="Arial" w:hAnsi="Arial"/>
          <w:b/>
          <w:bCs/>
          <w:i w:val="false"/>
          <w:iCs w:val="false"/>
          <w:color w:val="1A1A1A"/>
          <w:sz w:val="21"/>
          <w:szCs w:val="21"/>
        </w:rPr>
        <w:t xml:space="preserve">vertragstypischen, vorhersehbaren Schaden</w:t>
      </w:r>
      <w:r>
        <w:rPr>
          <w:rFonts w:ascii="Arial" w:cs="Arial" w:eastAsia="Arial" w:hAnsi="Arial"/>
          <w:b w:val="false"/>
          <w:bCs w:val="false"/>
          <w:i w:val="false"/>
          <w:iCs w:val="false"/>
          <w:color w:val="1A1A1A"/>
          <w:sz w:val="21"/>
          <w:szCs w:val="21"/>
        </w:rPr>
        <w:t xml:space="preserve"> begrenzt. Die Haftung ist ferner der Höhe nach begrenzt auf die in den letzten zwölf (12) Monaten vor dem schadensauslösenden Ereignis vom Kunden gezahlte Vergütung, </w:t>
      </w:r>
      <w:r>
        <w:rPr>
          <w:rFonts w:ascii="Arial" w:cs="Arial" w:eastAsia="Arial" w:hAnsi="Arial"/>
          <w:b/>
          <w:bCs/>
          <w:i w:val="false"/>
          <w:iCs w:val="false"/>
          <w:color w:val="1A1A1A"/>
          <w:sz w:val="21"/>
          <w:szCs w:val="21"/>
        </w:rPr>
        <w:t xml:space="preserve">mindestens jedoch "____ EUR"</w:t>
      </w:r>
      <w:r>
        <w:rPr>
          <w:rFonts w:ascii="Arial" w:cs="Arial" w:eastAsia="Arial" w:hAnsi="Arial"/>
          <w:b w:val="false"/>
          <w:bCs w:val="false"/>
          <w:i w:val="false"/>
          <w:iCs w:val="false"/>
          <w:color w:val="1A1A1A"/>
          <w:sz w:val="21"/>
          <w:szCs w:val="21"/>
        </w:rPr>
        <w:t xml:space="preserve"> je Schadensfall, sowie auf ein </w:t>
      </w:r>
      <w:r>
        <w:rPr>
          <w:rFonts w:ascii="Arial" w:cs="Arial" w:eastAsia="Arial" w:hAnsi="Arial"/>
          <w:b/>
          <w:bCs/>
          <w:i w:val="false"/>
          <w:iCs w:val="false"/>
          <w:color w:val="1A1A1A"/>
          <w:sz w:val="21"/>
          <w:szCs w:val="21"/>
        </w:rPr>
        <w:t xml:space="preserve">Jahres-Aggregat von "____ EUR"</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(Stufe 3) Im Übrigen</w:t>
      </w:r>
      <w:r>
        <w:rPr>
          <w:rFonts w:ascii="Arial" w:cs="Arial" w:eastAsia="Arial" w:hAnsi="Arial"/>
          <w:b w:val="false"/>
          <w:bCs w:val="false"/>
          <w:i w:val="false"/>
          <w:iCs w:val="false"/>
          <w:color w:val="1A1A1A"/>
          <w:sz w:val="21"/>
          <w:szCs w:val="21"/>
        </w:rPr>
        <w:t xml:space="preserve"> ist die Haftung von NexAI ausgeschlossen.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übernimmt </w:t>
      </w:r>
      <w:r>
        <w:rPr>
          <w:rFonts w:ascii="Arial" w:cs="Arial" w:eastAsia="Arial" w:hAnsi="Arial"/>
          <w:b/>
          <w:bCs/>
          <w:i w:val="false"/>
          <w:iCs w:val="false"/>
          <w:color w:val="1A1A1A"/>
          <w:sz w:val="21"/>
          <w:szCs w:val="21"/>
        </w:rPr>
        <w:t xml:space="preserve">keine Erfolgs-, Lead- oder Umsatzgarantie</w:t>
      </w:r>
      <w:r>
        <w:rPr>
          <w:rFonts w:ascii="Arial" w:cs="Arial" w:eastAsia="Arial" w:hAnsi="Arial"/>
          <w:b w:val="false"/>
          <w:bCs w:val="false"/>
          <w:i w:val="false"/>
          <w:iCs w:val="false"/>
          <w:color w:val="1A1A1A"/>
          <w:sz w:val="21"/>
          <w:szCs w:val="21"/>
        </w:rPr>
        <w:t xml:space="preserve">. Insbesondere wird keine bestimmte Anzahl an Gesprächen, Terminen, Leads, Abschlüssen oder Umsätzen geschuldet oder garantiert.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vorstehenden Haftungsbeschränkungen gelten auch zugunsten der gesetzlichen Vertreter, Gesellschafter, Mitarbeiter und Erfüllungsgehilfen von NexAI.</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Eine Änderung der Beweislast zum Nachteil des Kunden ist mit den vorstehenden Regelungen nicht verbunden.</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Datenschutz und Auftragsverarbeitung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Soweit NexAI im Auftrag des Kunden personenbezogene Daten verarbeitet, gilt der als </w:t>
      </w:r>
      <w:r>
        <w:rPr>
          <w:rFonts w:ascii="Arial" w:cs="Arial" w:eastAsia="Arial" w:hAnsi="Arial"/>
          <w:b/>
          <w:bCs/>
          <w:i w:val="false"/>
          <w:iCs w:val="false"/>
          <w:color w:val="1A1A1A"/>
          <w:sz w:val="21"/>
          <w:szCs w:val="21"/>
        </w:rPr>
        <w:t xml:space="preserve">Anlage B (AVV)</w:t>
      </w:r>
      <w:r>
        <w:rPr>
          <w:rFonts w:ascii="Arial" w:cs="Arial" w:eastAsia="Arial" w:hAnsi="Arial"/>
          <w:b w:val="false"/>
          <w:bCs w:val="false"/>
          <w:i w:val="false"/>
          <w:iCs w:val="false"/>
          <w:color w:val="1A1A1A"/>
          <w:sz w:val="21"/>
          <w:szCs w:val="21"/>
        </w:rPr>
        <w:t xml:space="preserve"> beigefügte Auftragsverarbeitungsvertrag, der insoweit zwingend und vorrangig ist (§ 1 Abs. 5).</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w:t>
      </w:r>
      <w:r>
        <w:rPr>
          <w:rFonts w:ascii="Arial" w:cs="Arial" w:eastAsia="Arial" w:hAnsi="Arial"/>
          <w:b/>
          <w:bCs/>
          <w:i w:val="false"/>
          <w:iCs w:val="false"/>
          <w:color w:val="1A1A1A"/>
          <w:sz w:val="21"/>
          <w:szCs w:val="21"/>
        </w:rPr>
        <w:t xml:space="preserve">Kunde ist Verantwortlicher</w:t>
      </w:r>
      <w:r>
        <w:rPr>
          <w:rFonts w:ascii="Arial" w:cs="Arial" w:eastAsia="Arial" w:hAnsi="Arial"/>
          <w:b w:val="false"/>
          <w:bCs w:val="false"/>
          <w:i w:val="false"/>
          <w:iCs w:val="false"/>
          <w:color w:val="1A1A1A"/>
          <w:sz w:val="21"/>
          <w:szCs w:val="21"/>
        </w:rPr>
        <w:t xml:space="preserve"> im Sinne des Art. 4 Nr. 7 DSGVO; </w:t>
      </w:r>
      <w:r>
        <w:rPr>
          <w:rFonts w:ascii="Arial" w:cs="Arial" w:eastAsia="Arial" w:hAnsi="Arial"/>
          <w:b/>
          <w:bCs/>
          <w:i w:val="false"/>
          <w:iCs w:val="false"/>
          <w:color w:val="1A1A1A"/>
          <w:sz w:val="21"/>
          <w:szCs w:val="21"/>
        </w:rPr>
        <w:t xml:space="preserve">NexAI ist Auftragsverarbeiter</w:t>
      </w:r>
      <w:r>
        <w:rPr>
          <w:rFonts w:ascii="Arial" w:cs="Arial" w:eastAsia="Arial" w:hAnsi="Arial"/>
          <w:b w:val="false"/>
          <w:bCs w:val="false"/>
          <w:i w:val="false"/>
          <w:iCs w:val="false"/>
          <w:color w:val="1A1A1A"/>
          <w:sz w:val="21"/>
          <w:szCs w:val="21"/>
        </w:rPr>
        <w:t xml:space="preserve"> im Sinne des Art. 4 Nr. 8 DSGVO, soweit nicht im Einzelfall abweichend geregelt.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Innenverhältnis richtet sich der Ausgleich einer gesamtschuldnerischen Haftung nach Art. 82 Abs. 5 DSGVO nach den Verursachungs- und Verantwortungsanteilen der Parteien.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Freistellung von behördlich verhängten </w:t>
      </w:r>
      <w:r>
        <w:rPr>
          <w:rFonts w:ascii="Arial" w:cs="Arial" w:eastAsia="Arial" w:hAnsi="Arial"/>
          <w:b/>
          <w:bCs/>
          <w:i w:val="false"/>
          <w:iCs w:val="false"/>
          <w:color w:val="1A1A1A"/>
          <w:sz w:val="21"/>
          <w:szCs w:val="21"/>
        </w:rPr>
        <w:t xml:space="preserve">Bußgeldern</w:t>
      </w:r>
      <w:r>
        <w:rPr>
          <w:rFonts w:ascii="Arial" w:cs="Arial" w:eastAsia="Arial" w:hAnsi="Arial"/>
          <w:b w:val="false"/>
          <w:bCs w:val="false"/>
          <w:i w:val="false"/>
          <w:iCs w:val="false"/>
          <w:color w:val="1A1A1A"/>
          <w:sz w:val="21"/>
          <w:szCs w:val="21"/>
        </w:rPr>
        <w:t xml:space="preserve"> wird durch diesen Vertrag nicht begründet; die Regelung in diesem Paragraphen ist insoweit lediglich deklaratorisch und lässt die gesetzliche Verantwortlichkeit jeder Partei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Datenspeicherung und 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stimmt ausdrücklich zu, dass Daten zur Vertragserfüllung </w:t>
      </w:r>
      <w:r>
        <w:rPr>
          <w:rFonts w:ascii="Arial" w:cs="Arial" w:eastAsia="Arial" w:hAnsi="Arial"/>
          <w:b/>
          <w:bCs/>
          <w:i w:val="false"/>
          <w:iCs w:val="false"/>
          <w:color w:val="1A1A1A"/>
          <w:sz w:val="21"/>
          <w:szCs w:val="21"/>
        </w:rPr>
        <w:t xml:space="preserve">intern bei NexAI</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gegebenenfalls extern bei Subunternehmern</w:t>
      </w:r>
      <w:r>
        <w:rPr>
          <w:rFonts w:ascii="Arial" w:cs="Arial" w:eastAsia="Arial" w:hAnsi="Arial"/>
          <w:b w:val="false"/>
          <w:bCs w:val="false"/>
          <w:i w:val="false"/>
          <w:iCs w:val="false"/>
          <w:color w:val="1A1A1A"/>
          <w:sz w:val="21"/>
          <w:szCs w:val="21"/>
        </w:rPr>
        <w:t xml:space="preserve"> (Unterauftragsverarbeiter / Drittdienste, insbesondere Vapi, Twilio, Make, OpenAI, ElevenLabs, Google, Hoster — auch in Drittländern nach Maßgabe der Anlage B) gespeichert und verarbeitet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betrifft sowohl </w:t>
      </w:r>
      <w:r>
        <w:rPr>
          <w:rFonts w:ascii="Arial" w:cs="Arial" w:eastAsia="Arial" w:hAnsi="Arial"/>
          <w:b/>
          <w:bCs/>
          <w:i w:val="false"/>
          <w:iCs w:val="false"/>
          <w:color w:val="1A1A1A"/>
          <w:sz w:val="21"/>
          <w:szCs w:val="21"/>
        </w:rPr>
        <w:t xml:space="preserve">Kundendaten</w:t>
      </w:r>
      <w:r>
        <w:rPr>
          <w:rFonts w:ascii="Arial" w:cs="Arial" w:eastAsia="Arial" w:hAnsi="Arial"/>
          <w:b w:val="false"/>
          <w:bCs w:val="false"/>
          <w:i w:val="false"/>
          <w:iCs w:val="false"/>
          <w:color w:val="1A1A1A"/>
          <w:sz w:val="21"/>
          <w:szCs w:val="21"/>
        </w:rPr>
        <w:t xml:space="preserve"> als auch </w:t>
      </w:r>
      <w:r>
        <w:rPr>
          <w:rFonts w:ascii="Arial" w:cs="Arial" w:eastAsia="Arial" w:hAnsi="Arial"/>
          <w:b/>
          <w:bCs/>
          <w:i w:val="false"/>
          <w:iCs w:val="false"/>
          <w:color w:val="1A1A1A"/>
          <w:sz w:val="21"/>
          <w:szCs w:val="21"/>
        </w:rPr>
        <w:t xml:space="preserve">Endnutzerdaten</w:t>
      </w:r>
      <w:r>
        <w:rPr>
          <w:rFonts w:ascii="Arial" w:cs="Arial" w:eastAsia="Arial" w:hAnsi="Arial"/>
          <w:b w:val="false"/>
          <w:bCs w:val="false"/>
          <w:i w:val="false"/>
          <w:iCs w:val="false"/>
          <w:color w:val="1A1A1A"/>
          <w:sz w:val="21"/>
          <w:szCs w:val="21"/>
        </w:rPr>
        <w:t xml:space="preserve"> (Anrufer / Chat-Kontakte), namentlich Kontaktdaten, Gesprächsinhalte, Transkripte und Metadaten, jeweils im Rahmen der nachstehenden Speicherregel.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Speicherregel:</w:t>
      </w:r>
      <w:r>
        <w:rPr>
          <w:rFonts w:ascii="Arial" w:cs="Arial" w:eastAsia="Arial" w:hAnsi="Arial"/>
          <w:b w:val="false"/>
          <w:bCs w:val="false"/>
          <w:i w:val="false"/>
          <w:iCs w:val="false"/>
          <w:color w:val="1A1A1A"/>
          <w:sz w:val="21"/>
          <w:szCs w:val="21"/>
        </w:rPr>
        <w:t xml:space="preserve"> Wo eine Speicherung technisch abschaltbar ist, erfolgt grundsätzlich </w:t>
      </w:r>
      <w:r>
        <w:rPr>
          <w:rFonts w:ascii="Arial" w:cs="Arial" w:eastAsia="Arial" w:hAnsi="Arial"/>
          <w:b/>
          <w:bCs/>
          <w:i w:val="false"/>
          <w:iCs w:val="false"/>
          <w:color w:val="1A1A1A"/>
          <w:sz w:val="21"/>
          <w:szCs w:val="21"/>
        </w:rPr>
        <w:t xml:space="preserve">keine Speicherung</w:t>
      </w:r>
      <w:r>
        <w:rPr>
          <w:rFonts w:ascii="Arial" w:cs="Arial" w:eastAsia="Arial" w:hAnsi="Arial"/>
          <w:b w:val="false"/>
          <w:bCs w:val="false"/>
          <w:i w:val="false"/>
          <w:iCs w:val="false"/>
          <w:color w:val="1A1A1A"/>
          <w:sz w:val="21"/>
          <w:szCs w:val="21"/>
        </w:rPr>
        <w:t xml:space="preserve">. Wo eine Speicherung technisch nicht abschaltbar oder zur Leistungserbringung erforderlich ist, werden die Daten für </w:t>
      </w:r>
      <w:r>
        <w:rPr>
          <w:rFonts w:ascii="Arial" w:cs="Arial" w:eastAsia="Arial" w:hAnsi="Arial"/>
          <w:b/>
          <w:bCs/>
          <w:i w:val="false"/>
          <w:iCs w:val="false"/>
          <w:color w:val="1A1A1A"/>
          <w:sz w:val="21"/>
          <w:szCs w:val="21"/>
        </w:rPr>
        <w:t xml:space="preserve">sechs (6) Monate</w:t>
      </w:r>
      <w:r>
        <w:rPr>
          <w:rFonts w:ascii="Arial" w:cs="Arial" w:eastAsia="Arial" w:hAnsi="Arial"/>
          <w:b w:val="false"/>
          <w:bCs w:val="false"/>
          <w:i w:val="false"/>
          <w:iCs w:val="false"/>
          <w:color w:val="1A1A1A"/>
          <w:sz w:val="21"/>
          <w:szCs w:val="21"/>
        </w:rPr>
        <w:t xml:space="preserve"> aufbewahrt und anschließend gelöscht, soweit keine gesetzliche Aufbewahrungspflicht entgegensteht. Geschäftsdaten werden zusätzlich in den Systemen des Kunden geführt; das </w:t>
      </w:r>
      <w:r>
        <w:rPr>
          <w:rFonts w:ascii="Arial" w:cs="Arial" w:eastAsia="Arial" w:hAnsi="Arial"/>
          <w:b/>
          <w:bCs/>
          <w:i w:val="false"/>
          <w:iCs w:val="false"/>
          <w:color w:val="1A1A1A"/>
          <w:sz w:val="21"/>
          <w:szCs w:val="21"/>
        </w:rPr>
        <w:t xml:space="preserve">Kundensystem ist das führende System</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Kundenpflicht:</w:t>
      </w:r>
      <w:r>
        <w:rPr>
          <w:rFonts w:ascii="Arial" w:cs="Arial" w:eastAsia="Arial" w:hAnsi="Arial"/>
          <w:b w:val="false"/>
          <w:bCs w:val="false"/>
          <w:i w:val="false"/>
          <w:iCs w:val="false"/>
          <w:color w:val="1A1A1A"/>
          <w:sz w:val="21"/>
          <w:szCs w:val="21"/>
        </w:rPr>
        <w:t xml:space="preserve"> Der Kunde stellt als Verantwortlicher sicher, dass für die Verarbeitung eine tragfähige </w:t>
      </w:r>
      <w:r>
        <w:rPr>
          <w:rFonts w:ascii="Arial" w:cs="Arial" w:eastAsia="Arial" w:hAnsi="Arial"/>
          <w:b/>
          <w:bCs/>
          <w:i w:val="false"/>
          <w:iCs w:val="false"/>
          <w:color w:val="1A1A1A"/>
          <w:sz w:val="21"/>
          <w:szCs w:val="21"/>
        </w:rPr>
        <w:t xml:space="preserve">Rechtsgrundlage</w:t>
      </w:r>
      <w:r>
        <w:rPr>
          <w:rFonts w:ascii="Arial" w:cs="Arial" w:eastAsia="Arial" w:hAnsi="Arial"/>
          <w:b w:val="false"/>
          <w:bCs w:val="false"/>
          <w:i w:val="false"/>
          <w:iCs w:val="false"/>
          <w:color w:val="1A1A1A"/>
          <w:sz w:val="21"/>
          <w:szCs w:val="21"/>
        </w:rPr>
        <w:t xml:space="preserve"> besteht, und informiert die Endnutzer gemäß </w:t>
      </w:r>
      <w:r>
        <w:rPr>
          <w:rFonts w:ascii="Arial" w:cs="Arial" w:eastAsia="Arial" w:hAnsi="Arial"/>
          <w:b/>
          <w:bCs/>
          <w:i w:val="false"/>
          <w:iCs w:val="false"/>
          <w:color w:val="1A1A1A"/>
          <w:sz w:val="21"/>
          <w:szCs w:val="21"/>
        </w:rPr>
        <w:t xml:space="preserve">Art. 13 und 14 DSGVO</w:t>
      </w:r>
      <w:r>
        <w:rPr>
          <w:rFonts w:ascii="Arial" w:cs="Arial" w:eastAsia="Arial" w:hAnsi="Arial"/>
          <w:b w:val="false"/>
          <w:bCs w:val="false"/>
          <w:i w:val="false"/>
          <w:iCs w:val="false"/>
          <w:color w:val="1A1A1A"/>
          <w:sz w:val="21"/>
          <w:szCs w:val="21"/>
        </w:rPr>
        <w:t xml:space="preserve"> (Datenschutzhinweis sowie Bot-Ansage), einschließlich eines Hinweises auf die Einbindung von NexAI und der eingesetzten Drittdienste.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Verletzt der Kunde die Pflichten nach Absatz (4), </w:t>
      </w:r>
      <w:r>
        <w:rPr>
          <w:rFonts w:ascii="Arial" w:cs="Arial" w:eastAsia="Arial" w:hAnsi="Arial"/>
          <w:b/>
          <w:bCs/>
          <w:i w:val="false"/>
          <w:iCs w:val="false"/>
          <w:color w:val="1A1A1A"/>
          <w:sz w:val="21"/>
          <w:szCs w:val="21"/>
        </w:rPr>
        <w:t xml:space="preserve">stellt er NexAI von allen hieraus resultierenden Ansprüchen Dritter sowie von angemessenen Kosten der Rechtsverteidigung frei</w:t>
      </w:r>
      <w:r>
        <w:rPr>
          <w:rFonts w:ascii="Arial" w:cs="Arial" w:eastAsia="Arial" w:hAnsi="Arial"/>
          <w:b w:val="false"/>
          <w:bCs w:val="false"/>
          <w:i w:val="false"/>
          <w:iCs w:val="false"/>
          <w:color w:val="1A1A1A"/>
          <w:sz w:val="21"/>
          <w:szCs w:val="21"/>
        </w:rPr>
        <w:t xml:space="preserve"> (§ 17 gilt entsprechend).</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Akquise und Direktwerbung (UWG)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Setzt der Kunde Agenten zur Akquise oder Direktwerbung ein, ist ausschließlich eine </w:t>
      </w:r>
      <w:r>
        <w:rPr>
          <w:rFonts w:ascii="Arial" w:cs="Arial" w:eastAsia="Arial" w:hAnsi="Arial"/>
          <w:b/>
          <w:bCs/>
          <w:i w:val="false"/>
          <w:iCs w:val="false"/>
          <w:color w:val="1A1A1A"/>
          <w:sz w:val="21"/>
          <w:szCs w:val="21"/>
        </w:rPr>
        <w:t xml:space="preserve">rechtlich zulässige Ansprache</w:t>
      </w:r>
      <w:r>
        <w:rPr>
          <w:rFonts w:ascii="Arial" w:cs="Arial" w:eastAsia="Arial" w:hAnsi="Arial"/>
          <w:b w:val="false"/>
          <w:bCs w:val="false"/>
          <w:i w:val="false"/>
          <w:iCs w:val="false"/>
          <w:color w:val="1A1A1A"/>
          <w:sz w:val="21"/>
          <w:szCs w:val="21"/>
        </w:rPr>
        <w:t xml:space="preserve"> zulässig (insbesondere nach § 7 UWG sowie Art. 6 und Art. 14 DSGVO). Der Kunde sichert zu, dass für die jeweilige Ansprache — soweit möglich — eine tragfähige Rechtsgrundlage besteht.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recherchiert Kontakte teilweise selbst. NexAI unterliegt insoweit strengen Eigen-Compliance-Vorgaben (nur zulässige B2B-Ansprache, Erfüllung der Informationspflichten nach Art. 14 DSGVO, Dokumentation von Opt-outs).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ist berechtigt, die Durchführung von Kampagnen, die erkennbar </w:t>
      </w:r>
      <w:r>
        <w:rPr>
          <w:rFonts w:ascii="Arial" w:cs="Arial" w:eastAsia="Arial" w:hAnsi="Arial"/>
          <w:b/>
          <w:bCs/>
          <w:i w:val="false"/>
          <w:iCs w:val="false"/>
          <w:color w:val="1A1A1A"/>
          <w:sz w:val="21"/>
          <w:szCs w:val="21"/>
        </w:rPr>
        <w:t xml:space="preserve">rechtswidrig</w:t>
      </w:r>
      <w:r>
        <w:rPr>
          <w:rFonts w:ascii="Arial" w:cs="Arial" w:eastAsia="Arial" w:hAnsi="Arial"/>
          <w:b w:val="false"/>
          <w:bCs w:val="false"/>
          <w:i w:val="false"/>
          <w:iCs w:val="false"/>
          <w:color w:val="1A1A1A"/>
          <w:sz w:val="21"/>
          <w:szCs w:val="21"/>
        </w:rPr>
        <w:t xml:space="preserve"> sind oder gegen § 7 UWG bzw. datenschutzrechtliche Vorgaben verstoßen, ganz oder teilweise </w:t>
      </w:r>
      <w:r>
        <w:rPr>
          <w:rFonts w:ascii="Arial" w:cs="Arial" w:eastAsia="Arial" w:hAnsi="Arial"/>
          <w:b/>
          <w:bCs/>
          <w:i w:val="false"/>
          <w:iCs w:val="false"/>
          <w:color w:val="1A1A1A"/>
          <w:sz w:val="21"/>
          <w:szCs w:val="21"/>
        </w:rPr>
        <w:t xml:space="preserve">abzulehnen</w:t>
      </w:r>
      <w:r>
        <w:rPr>
          <w:rFonts w:ascii="Arial" w:cs="Arial" w:eastAsia="Arial" w:hAnsi="Arial"/>
          <w:b w:val="false"/>
          <w:bCs w:val="false"/>
          <w:i w:val="false"/>
          <w:iCs w:val="false"/>
          <w:color w:val="1A1A1A"/>
          <w:sz w:val="21"/>
          <w:szCs w:val="21"/>
        </w:rPr>
        <w:t xml:space="preserve"> oder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Widersprüche und Opt-outs von angesprochenen Kontakten werden dokumentiert und beachtet; der Kunde stellt die Fortführung der Opt-out-Dokumentation in seinen Systemen sicher.</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Stimm- und Namensrechte, Deepfake-Kennzeichnung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Standardmäßig werden </w:t>
      </w:r>
      <w:r>
        <w:rPr>
          <w:rFonts w:ascii="Arial" w:cs="Arial" w:eastAsia="Arial" w:hAnsi="Arial"/>
          <w:b/>
          <w:bCs/>
          <w:i w:val="false"/>
          <w:iCs w:val="false"/>
          <w:color w:val="1A1A1A"/>
          <w:sz w:val="21"/>
          <w:szCs w:val="21"/>
        </w:rPr>
        <w:t xml:space="preserve">synthetische Standardstimmen</w:t>
      </w:r>
      <w:r>
        <w:rPr>
          <w:rFonts w:ascii="Arial" w:cs="Arial" w:eastAsia="Arial" w:hAnsi="Arial"/>
          <w:b w:val="false"/>
          <w:bCs w:val="false"/>
          <w:i w:val="false"/>
          <w:iCs w:val="false"/>
          <w:color w:val="1A1A1A"/>
          <w:sz w:val="21"/>
          <w:szCs w:val="21"/>
        </w:rPr>
        <w:t xml:space="preserve"> eingesetzt, an denen keine Persönlichkeitsrechte Dritter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Wünscht der Kunde die Nutzung einer geklonten oder nachgebildeten Stimme oder eines Namens einer real existierenden Person (Stimm-Klon), hat er NexAI eine </w:t>
      </w:r>
      <w:r>
        <w:rPr>
          <w:rFonts w:ascii="Arial" w:cs="Arial" w:eastAsia="Arial" w:hAnsi="Arial"/>
          <w:b/>
          <w:bCs/>
          <w:i w:val="false"/>
          <w:iCs w:val="false"/>
          <w:color w:val="1A1A1A"/>
          <w:sz w:val="21"/>
          <w:szCs w:val="21"/>
        </w:rPr>
        <w:t xml:space="preserve">dokumentierte Einwilligung</w:t>
      </w:r>
      <w:r>
        <w:rPr>
          <w:rFonts w:ascii="Arial" w:cs="Arial" w:eastAsia="Arial" w:hAnsi="Arial"/>
          <w:b w:val="false"/>
          <w:bCs w:val="false"/>
          <w:i w:val="false"/>
          <w:iCs w:val="false"/>
          <w:color w:val="1A1A1A"/>
          <w:sz w:val="21"/>
          <w:szCs w:val="21"/>
        </w:rPr>
        <w:t xml:space="preserve"> der betroffenen Person vorzulegen. Für synthetische Nachbildungen realer Personen gelten die Transparenz- und Kennzeichnungspflichten der KI-VO (§ 4).</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allen Ansprüchen frei</w:t>
      </w:r>
      <w:r>
        <w:rPr>
          <w:rFonts w:ascii="Arial" w:cs="Arial" w:eastAsia="Arial" w:hAnsi="Arial"/>
          <w:b w:val="false"/>
          <w:bCs w:val="false"/>
          <w:i w:val="false"/>
          <w:iCs w:val="false"/>
          <w:color w:val="1A1A1A"/>
          <w:sz w:val="21"/>
          <w:szCs w:val="21"/>
        </w:rPr>
        <w:t xml:space="preserve">, die Dritte wegen der Verletzung von Persönlichkeits-, Stimm-, Namens- oder sonstigen Rechten aufgrund einer vom Kunden veranlassten Stimm- oder Namensnutzung geltend machen, einschließlich angemessener Kosten der Rechtsverteidigung.</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Rechtmäßige Nutzung, Freistellung und vorübergehende Deaktivierung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nutzt die Agenten ausschließlich im Rahmen der geltenden Gesetze und dieses Vertrags. Untersagt sind insbesondere rechtswidrige, irreführende, belästigende oder rechtsverletzende Nutzungen.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sämtlichen Ansprüchen Dritter frei</w:t>
      </w:r>
      <w:r>
        <w:rPr>
          <w:rFonts w:ascii="Arial" w:cs="Arial" w:eastAsia="Arial" w:hAnsi="Arial"/>
          <w:b w:val="false"/>
          <w:bCs w:val="false"/>
          <w:i w:val="false"/>
          <w:iCs w:val="false"/>
          <w:color w:val="1A1A1A"/>
          <w:sz w:val="21"/>
          <w:szCs w:val="21"/>
        </w:rPr>
        <w:t xml:space="preserve">, die auf einer von ihm zu vertretenden rechtswidrigen oder vertragswidrigen Nutzung der Agenten beruhen, einschließlich angemessener Kosten der Rechtsverteidigung. NexAI wird den Kunden über eine solche Inanspruchnahme unverzüglich informieren und ihm die Rechtsverteidigung ermöglichen.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konkreten Anhaltspunkten für eine rechtswidrige Nutzung oder eine erhebliche Gefährdung Dritter ist NexAI berechtigt, den betroffenen Agenten </w:t>
      </w:r>
      <w:r>
        <w:rPr>
          <w:rFonts w:ascii="Arial" w:cs="Arial" w:eastAsia="Arial" w:hAnsi="Arial"/>
          <w:b/>
          <w:bCs/>
          <w:i w:val="false"/>
          <w:iCs w:val="false"/>
          <w:color w:val="1A1A1A"/>
          <w:sz w:val="21"/>
          <w:szCs w:val="21"/>
        </w:rPr>
        <w:t xml:space="preserve">sofort vorübergehend zu deaktivieren</w:t>
      </w:r>
      <w:r>
        <w:rPr>
          <w:rFonts w:ascii="Arial" w:cs="Arial" w:eastAsia="Arial" w:hAnsi="Arial"/>
          <w:b w:val="false"/>
          <w:bCs w:val="false"/>
          <w:i w:val="false"/>
          <w:iCs w:val="false"/>
          <w:color w:val="1A1A1A"/>
          <w:sz w:val="21"/>
          <w:szCs w:val="21"/>
        </w:rPr>
        <w:t xml:space="preserve">. NexAI informiert den Kunden unverzüglich. Die </w:t>
      </w:r>
      <w:r>
        <w:rPr>
          <w:rFonts w:ascii="Arial" w:cs="Arial" w:eastAsia="Arial" w:hAnsi="Arial"/>
          <w:b/>
          <w:bCs/>
          <w:i w:val="false"/>
          <w:iCs w:val="false"/>
          <w:color w:val="1A1A1A"/>
          <w:sz w:val="21"/>
          <w:szCs w:val="21"/>
        </w:rPr>
        <w:t xml:space="preserve">Beitragspflicht bleibt</w:t>
      </w:r>
      <w:r>
        <w:rPr>
          <w:rFonts w:ascii="Arial" w:cs="Arial" w:eastAsia="Arial" w:hAnsi="Arial"/>
          <w:b w:val="false"/>
          <w:bCs w:val="false"/>
          <w:i w:val="false"/>
          <w:iCs w:val="false"/>
          <w:color w:val="1A1A1A"/>
          <w:sz w:val="21"/>
          <w:szCs w:val="21"/>
        </w:rPr>
        <w:t xml:space="preserve"> für die Dauer einer vom Kunden zu vertretenden Deaktivierung bestehen.</w:t>
      </w:r>
    </w:p>
    <w:p>
      <w:pPr>
        <w:pStyle w:val="Heading1"/>
        <w:keepNext/>
        <w:spacing w:after="100" w:before="260"/>
      </w:pPr>
      <w:r>
        <w:rPr>
          <w:rFonts w:ascii="Arial" w:cs="Arial" w:eastAsia="Arial" w:hAnsi="Arial"/>
          <w:b/>
          <w:bCs/>
          <w:color w:val="1F3A8A"/>
          <w:sz w:val="24"/>
          <w:szCs w:val="24"/>
        </w:rPr>
        <w:t xml:space="preserve">§ 18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behandeln alle als vertraulich gekennzeichneten oder ihrer Natur nach vertraulichen Informationen der jeweils anderen Partei streng vertraulich und nutzen sie nur zur Vertragserfüllung.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Vertraulichkeitspflicht gilt nicht für Informationen, die öffentlich bekannt sind, rechtmäßig von Dritten erlangt wurden oder unabhängig entwickelt wurden, sowie soweit eine gesetzliche oder behördliche Offenlegungspflicht besteht.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Vertraulichkeitspflicht besteht auch nach Beendigung des Vertrags für die Dauer von drei (3) Jahren fort.</w:t>
      </w:r>
    </w:p>
    <w:p>
      <w:pPr>
        <w:pStyle w:val="Heading1"/>
        <w:keepNext/>
        <w:spacing w:after="100" w:before="260"/>
      </w:pPr>
      <w:r>
        <w:rPr>
          <w:rFonts w:ascii="Arial" w:cs="Arial" w:eastAsia="Arial" w:hAnsi="Arial"/>
          <w:b/>
          <w:bCs/>
          <w:color w:val="1F3A8A"/>
          <w:sz w:val="24"/>
          <w:szCs w:val="24"/>
        </w:rPr>
        <w:t xml:space="preserve">§ 19  </w:t>
      </w:r>
      <w:r>
        <w:rPr>
          <w:rFonts w:ascii="Arial" w:cs="Arial" w:eastAsia="Arial" w:hAnsi="Arial"/>
          <w:b/>
          <w:bCs/>
          <w:i w:val="false"/>
          <w:iCs w:val="false"/>
          <w:color w:val="0B0B0F"/>
          <w:sz w:val="24"/>
          <w:szCs w:val="24"/>
        </w:rPr>
        <w:t xml:space="preserve">Referenznutzung</w:t>
      </w:r>
    </w:p>
    <w:p>
      <w:pPr>
        <w:spacing w:after="120" w:line="276"/>
        <w:jc w:val="both"/>
      </w:pPr>
      <w:r>
        <w:rPr>
          <w:rFonts w:ascii="Arial" w:cs="Arial" w:eastAsia="Arial" w:hAnsi="Arial"/>
          <w:b w:val="false"/>
          <w:bCs w:val="false"/>
          <w:i w:val="false"/>
          <w:iCs w:val="false"/>
          <w:color w:val="1A1A1A"/>
          <w:sz w:val="21"/>
          <w:szCs w:val="21"/>
        </w:rPr>
        <w:t xml:space="preserve">NexAI darf den Kunden als Referenz (Name und Logo) auf ihrer Website und in Vertriebsunterlagen nur nennen, wenn der Kunde dem nachfolgend ausdrücklich zustimmt (Opt-in):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stimmt der Nennung als Referenz (Name und Logo) zu. Die Zustimmung ist jederzeit mit Wirkung für die Zukunft widerruflich.</w:t>
      </w:r>
    </w:p>
    <w:p>
      <w:pPr>
        <w:pStyle w:val="Heading1"/>
        <w:keepNext/>
        <w:spacing w:after="100" w:before="260"/>
      </w:pPr>
      <w:r>
        <w:rPr>
          <w:rFonts w:ascii="Arial" w:cs="Arial" w:eastAsia="Arial" w:hAnsi="Arial"/>
          <w:b/>
          <w:bCs/>
          <w:color w:val="1F3A8A"/>
          <w:sz w:val="24"/>
          <w:szCs w:val="24"/>
        </w:rPr>
        <w:t xml:space="preserve">§ 20  </w:t>
      </w:r>
      <w:r>
        <w:rPr>
          <w:rFonts w:ascii="Arial" w:cs="Arial" w:eastAsia="Arial" w:hAnsi="Arial"/>
          <w:b/>
          <w:bCs/>
          <w:i w:val="false"/>
          <w:iCs w:val="false"/>
          <w:color w:val="0B0B0F"/>
          <w:sz w:val="24"/>
          <w:szCs w:val="24"/>
        </w:rPr>
        <w:t xml:space="preserve">Drittanbieter und Drittdienste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setzt zur Leistungserbringung Subunternehmer und Drittdienste ein (insbesondere Vapi, Twilio, Make, OpenAI, ElevenLabs, Google, Hoster).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Störungen, Ausfälle oder Leistungsänderungen von Drittdiensten haftet NexAI </w:t>
      </w:r>
      <w:r>
        <w:rPr>
          <w:rFonts w:ascii="Arial" w:cs="Arial" w:eastAsia="Arial" w:hAnsi="Arial"/>
          <w:b/>
          <w:bCs/>
          <w:i w:val="false"/>
          <w:iCs w:val="false"/>
          <w:color w:val="1A1A1A"/>
          <w:sz w:val="21"/>
          <w:szCs w:val="21"/>
        </w:rPr>
        <w:t xml:space="preserve">nicht pauschal</w:t>
      </w:r>
      <w:r>
        <w:rPr>
          <w:rFonts w:ascii="Arial" w:cs="Arial" w:eastAsia="Arial" w:hAnsi="Arial"/>
          <w:b w:val="false"/>
          <w:bCs w:val="false"/>
          <w:i w:val="false"/>
          <w:iCs w:val="false"/>
          <w:color w:val="1A1A1A"/>
          <w:sz w:val="21"/>
          <w:szCs w:val="21"/>
        </w:rPr>
        <w:t xml:space="preserve">, sondern nur nach Maßgabe von § 12 und nur, soweit sie ein eigenes Verschulden trifft (</w:t>
      </w:r>
      <w:r>
        <w:rPr>
          <w:rFonts w:ascii="Arial" w:cs="Arial" w:eastAsia="Arial" w:hAnsi="Arial"/>
          <w:b/>
          <w:bCs/>
          <w:i w:val="false"/>
          <w:iCs w:val="false"/>
          <w:color w:val="1A1A1A"/>
          <w:sz w:val="21"/>
          <w:szCs w:val="21"/>
        </w:rPr>
        <w:t xml:space="preserve">Verschuldens-Carve-out</w:t>
      </w:r>
      <w:r>
        <w:rPr>
          <w:rFonts w:ascii="Arial" w:cs="Arial" w:eastAsia="Arial" w:hAnsi="Arial"/>
          <w:b w:val="false"/>
          <w:bCs w:val="false"/>
          <w:i w:val="false"/>
          <w:iCs w:val="false"/>
          <w:color w:val="1A1A1A"/>
          <w:sz w:val="21"/>
          <w:szCs w:val="21"/>
        </w:rPr>
        <w:t xml:space="preserve">); ein genereller Haftungsausschluss für Drittdienste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Laufende Kosten von Drittdiensten, die dem Kunden gesondert zugeordnet sind oder die durch die vom Kunden gewählte Nutzung anfallen, trägt der Kunde, soweit nicht ausdrücklich anders vereinbart.</w:t>
      </w:r>
    </w:p>
    <w:p>
      <w:pPr>
        <w:pStyle w:val="Heading1"/>
        <w:keepNext/>
        <w:spacing w:after="100" w:before="260"/>
      </w:pPr>
      <w:r>
        <w:rPr>
          <w:rFonts w:ascii="Arial" w:cs="Arial" w:eastAsia="Arial" w:hAnsi="Arial"/>
          <w:b/>
          <w:bCs/>
          <w:color w:val="1F3A8A"/>
          <w:sz w:val="24"/>
          <w:szCs w:val="24"/>
        </w:rPr>
        <w:t xml:space="preserve">§ 21  </w:t>
      </w:r>
      <w:r>
        <w:rPr>
          <w:rFonts w:ascii="Arial" w:cs="Arial" w:eastAsia="Arial" w:hAnsi="Arial"/>
          <w:b/>
          <w:bCs/>
          <w:i w:val="false"/>
          <w:iCs w:val="false"/>
          <w:color w:val="0B0B0F"/>
          <w:sz w:val="24"/>
          <w:szCs w:val="24"/>
        </w:rPr>
        <w:t xml:space="preserve">Vertragsende und Offboarding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Beendigung des Vertrags stellt NexAI dem Kunden die ihm zugeordneten Ergebnisdaten für einen Zeitraum von </w:t>
      </w:r>
      <w:r>
        <w:rPr>
          <w:rFonts w:ascii="Arial" w:cs="Arial" w:eastAsia="Arial" w:hAnsi="Arial"/>
          <w:b/>
          <w:bCs/>
          <w:i w:val="false"/>
          <w:iCs w:val="false"/>
          <w:color w:val="1A1A1A"/>
          <w:sz w:val="21"/>
          <w:szCs w:val="21"/>
        </w:rPr>
        <w:t xml:space="preserve">dreißig (30) Tagen zum Export</w:t>
      </w:r>
      <w:r>
        <w:rPr>
          <w:rFonts w:ascii="Arial" w:cs="Arial" w:eastAsia="Arial" w:hAnsi="Arial"/>
          <w:b w:val="false"/>
          <w:bCs w:val="false"/>
          <w:i w:val="false"/>
          <w:iCs w:val="false"/>
          <w:color w:val="1A1A1A"/>
          <w:sz w:val="21"/>
          <w:szCs w:val="21"/>
        </w:rPr>
        <w:t xml:space="preserve"> in einem gängigen, maschinenlesbaren Format (</w:t>
      </w:r>
      <w:r>
        <w:rPr>
          <w:rFonts w:ascii="Arial" w:cs="Arial" w:eastAsia="Arial" w:hAnsi="Arial"/>
          <w:b/>
          <w:bCs/>
          <w:i w:val="false"/>
          <w:iCs w:val="false"/>
          <w:color w:val="1A1A1A"/>
          <w:sz w:val="21"/>
          <w:szCs w:val="21"/>
        </w:rPr>
        <w:t xml:space="preserve">CSV/JSON</w:t>
      </w:r>
      <w:r>
        <w:rPr>
          <w:rFonts w:ascii="Arial" w:cs="Arial" w:eastAsia="Arial" w:hAnsi="Arial"/>
          <w:b w:val="false"/>
          <w:bCs w:val="false"/>
          <w:i w:val="false"/>
          <w:iCs w:val="false"/>
          <w:color w:val="1A1A1A"/>
          <w:sz w:val="21"/>
          <w:szCs w:val="21"/>
        </w:rPr>
        <w:t xml:space="preserve">) zur Verfügung. Nach Ablauf dieser Frist werden die Daten gelöscht, soweit keine gesetzliche Aufbewahrungspflicht entgegensteht; NexAI erteilt auf Verlangen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Von NexAI bereitgestellte </w:t>
      </w:r>
      <w:r>
        <w:rPr>
          <w:rFonts w:ascii="Arial" w:cs="Arial" w:eastAsia="Arial" w:hAnsi="Arial"/>
          <w:b/>
          <w:bCs/>
          <w:i w:val="false"/>
          <w:iCs w:val="false"/>
          <w:color w:val="1A1A1A"/>
          <w:sz w:val="21"/>
          <w:szCs w:val="21"/>
        </w:rPr>
        <w:t xml:space="preserve">Rufnummern</w:t>
      </w:r>
      <w:r>
        <w:rPr>
          <w:rFonts w:ascii="Arial" w:cs="Arial" w:eastAsia="Arial" w:hAnsi="Arial"/>
          <w:b w:val="false"/>
          <w:bCs w:val="false"/>
          <w:i w:val="false"/>
          <w:iCs w:val="false"/>
          <w:color w:val="1A1A1A"/>
          <w:sz w:val="21"/>
          <w:szCs w:val="21"/>
        </w:rPr>
        <w:t xml:space="preserve"> werden auf Wunsch des Kunden </w:t>
      </w:r>
      <w:r>
        <w:rPr>
          <w:rFonts w:ascii="Arial" w:cs="Arial" w:eastAsia="Arial" w:hAnsi="Arial"/>
          <w:b/>
          <w:bCs/>
          <w:i w:val="false"/>
          <w:iCs w:val="false"/>
          <w:color w:val="1A1A1A"/>
          <w:sz w:val="21"/>
          <w:szCs w:val="21"/>
        </w:rPr>
        <w:t xml:space="preserve">zurückportiert</w:t>
      </w:r>
      <w:r>
        <w:rPr>
          <w:rFonts w:ascii="Arial" w:cs="Arial" w:eastAsia="Arial" w:hAnsi="Arial"/>
          <w:b w:val="false"/>
          <w:bCs w:val="false"/>
          <w:i w:val="false"/>
          <w:iCs w:val="false"/>
          <w:color w:val="1A1A1A"/>
          <w:sz w:val="21"/>
          <w:szCs w:val="21"/>
        </w:rPr>
        <w:t xml:space="preserve">. Bis zum Abschluss der Portierung hält NexAI die betreffende Rufnummer im erforderlichen Umfang aufrecht (</w:t>
      </w:r>
      <w:r>
        <w:rPr>
          <w:rFonts w:ascii="Arial" w:cs="Arial" w:eastAsia="Arial" w:hAnsi="Arial"/>
          <w:b/>
          <w:bCs/>
          <w:i w:val="false"/>
          <w:iCs w:val="false"/>
          <w:color w:val="1A1A1A"/>
          <w:sz w:val="21"/>
          <w:szCs w:val="21"/>
        </w:rPr>
        <w:t xml:space="preserve">Keep-Alive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t>
      </w:r>
      <w:r>
        <w:rPr>
          <w:rFonts w:ascii="Arial" w:cs="Arial" w:eastAsia="Arial" w:hAnsi="Arial"/>
          <w:b/>
          <w:bCs/>
          <w:i w:val="false"/>
          <w:iCs w:val="false"/>
          <w:color w:val="1A1A1A"/>
          <w:sz w:val="21"/>
          <w:szCs w:val="21"/>
        </w:rPr>
        <w:t xml:space="preserve">kundeneigenen Accounts</w:t>
      </w:r>
      <w:r>
        <w:rPr>
          <w:rFonts w:ascii="Arial" w:cs="Arial" w:eastAsia="Arial" w:hAnsi="Arial"/>
          <w:b w:val="false"/>
          <w:bCs w:val="false"/>
          <w:i w:val="false"/>
          <w:iCs w:val="false"/>
          <w:color w:val="1A1A1A"/>
          <w:sz w:val="21"/>
          <w:szCs w:val="21"/>
        </w:rPr>
        <w:t xml:space="preserve"> (§ 11 Abs. 3) erfolgt das Offboarding in folgender Reihenfolge: (a) Export der Daten, (b) Entfernung des geistigen Eigentums und der Betriebsmittel von NexAI (Prompts, Workflows, Konfigurationen, Skripte), (c) Entzug der Zugriffe von NexAI auf die kundeneigenen Accounts.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Im Jahresmodell besteht bei ordentlicher Beendigung kein Anspruch auf anteilige Rückerstattung (§ 8 Abs. 2). § 22 (Höhere Gewalt) bleibt unberührt.</w:t>
      </w:r>
    </w:p>
    <w:p>
      <w:pPr>
        <w:pStyle w:val="Heading1"/>
        <w:keepNext/>
        <w:spacing w:after="100" w:before="260"/>
      </w:pPr>
      <w:r>
        <w:rPr>
          <w:rFonts w:ascii="Arial" w:cs="Arial" w:eastAsia="Arial" w:hAnsi="Arial"/>
          <w:b/>
          <w:bCs/>
          <w:color w:val="1F3A8A"/>
          <w:sz w:val="24"/>
          <w:szCs w:val="24"/>
        </w:rPr>
        <w:t xml:space="preserve">§ 22  </w:t>
      </w:r>
      <w:r>
        <w:rPr>
          <w:rFonts w:ascii="Arial" w:cs="Arial" w:eastAsia="Arial" w:hAnsi="Arial"/>
          <w:b/>
          <w:bCs/>
          <w:i w:val="false"/>
          <w:iCs w:val="false"/>
          <w:color w:val="0B0B0F"/>
          <w:sz w:val="24"/>
          <w:szCs w:val="24"/>
        </w:rPr>
        <w:t xml:space="preserve">Höhere Gewalt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Keine Partei haftet für die Nichterfüllung oder verzögerte Erfüllung ihrer Pflichten, soweit diese auf </w:t>
      </w:r>
      <w:r>
        <w:rPr>
          <w:rFonts w:ascii="Arial" w:cs="Arial" w:eastAsia="Arial" w:hAnsi="Arial"/>
          <w:b/>
          <w:bCs/>
          <w:i w:val="false"/>
          <w:iCs w:val="false"/>
          <w:color w:val="1A1A1A"/>
          <w:sz w:val="21"/>
          <w:szCs w:val="21"/>
        </w:rPr>
        <w:t xml:space="preserve">höherer Gewalt</w:t>
      </w:r>
      <w:r>
        <w:rPr>
          <w:rFonts w:ascii="Arial" w:cs="Arial" w:eastAsia="Arial" w:hAnsi="Arial"/>
          <w:b w:val="false"/>
          <w:bCs w:val="false"/>
          <w:i w:val="false"/>
          <w:iCs w:val="false"/>
          <w:color w:val="1A1A1A"/>
          <w:sz w:val="21"/>
          <w:szCs w:val="21"/>
        </w:rPr>
        <w:t xml:space="preserve"> beruht. Als höhere Gewalt gelten unvorhersehbare, außerhalb des zumutbaren Einflussbereichs liegende Ereignisse, insbesondere </w:t>
      </w:r>
      <w:r>
        <w:rPr>
          <w:rFonts w:ascii="Arial" w:cs="Arial" w:eastAsia="Arial" w:hAnsi="Arial"/>
          <w:b/>
          <w:bCs/>
          <w:i w:val="false"/>
          <w:iCs w:val="false"/>
          <w:color w:val="1A1A1A"/>
          <w:sz w:val="21"/>
          <w:szCs w:val="21"/>
        </w:rPr>
        <w:t xml:space="preserve">Cyberangriffe, Ausfall oder Insolvenz von Providern/Drittdiensten, behördliche Sperren oder Anordnungen sowie Netz-, Strom- und Telekommunikationsausfälle</w:t>
      </w:r>
      <w:r>
        <w:rPr>
          <w:rFonts w:ascii="Arial" w:cs="Arial" w:eastAsia="Arial" w:hAnsi="Arial"/>
          <w:b w:val="false"/>
          <w:bCs w:val="false"/>
          <w:i w:val="false"/>
          <w:iCs w:val="false"/>
          <w:color w:val="1A1A1A"/>
          <w:sz w:val="21"/>
          <w:szCs w:val="21"/>
        </w:rPr>
        <w:t xml:space="preserve">, ferner Naturereignisse, Pandemien, Streik und Krieg.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Dauer eines Ereignisses höherer Gewalt sind die betroffenen </w:t>
      </w:r>
      <w:r>
        <w:rPr>
          <w:rFonts w:ascii="Arial" w:cs="Arial" w:eastAsia="Arial" w:hAnsi="Arial"/>
          <w:b/>
          <w:bCs/>
          <w:i w:val="false"/>
          <w:iCs w:val="false"/>
          <w:color w:val="1A1A1A"/>
          <w:sz w:val="21"/>
          <w:szCs w:val="21"/>
        </w:rPr>
        <w:t xml:space="preserve">Leistungs- und die entsprechenden Zahlungspflichten ausgesetzt</w:t>
      </w:r>
      <w:r>
        <w:rPr>
          <w:rFonts w:ascii="Arial" w:cs="Arial" w:eastAsia="Arial" w:hAnsi="Arial"/>
          <w:b w:val="false"/>
          <w:bCs w:val="false"/>
          <w:i w:val="false"/>
          <w:iCs w:val="false"/>
          <w:color w:val="1A1A1A"/>
          <w:sz w:val="21"/>
          <w:szCs w:val="21"/>
        </w:rPr>
        <w:t xml:space="preserve">. Die betroffene Partei informiert die andere Partei unverzüglich.</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Dauert das Ereignis höherer Gewalt länger als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an, ist jede Partei berechtigt, den betroffenen Vertrag mit sofortiger Wirkung zu </w:t>
      </w:r>
      <w:r>
        <w:rPr>
          <w:rFonts w:ascii="Arial" w:cs="Arial" w:eastAsia="Arial" w:hAnsi="Arial"/>
          <w:b/>
          <w:bCs/>
          <w:i w:val="false"/>
          <w:iCs w:val="false"/>
          <w:color w:val="1A1A1A"/>
          <w:sz w:val="21"/>
          <w:szCs w:val="21"/>
        </w:rPr>
        <w:t xml:space="preserve">kündigen</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Bereits im Voraus gezahlte Beiträge für nachweislich </w:t>
      </w:r>
      <w:r>
        <w:rPr>
          <w:rFonts w:ascii="Arial" w:cs="Arial" w:eastAsia="Arial" w:hAnsi="Arial"/>
          <w:b/>
          <w:bCs/>
          <w:i w:val="false"/>
          <w:iCs w:val="false"/>
          <w:color w:val="1A1A1A"/>
          <w:sz w:val="21"/>
          <w:szCs w:val="21"/>
        </w:rPr>
        <w:t xml:space="preserve">nicht erbrachte Leistungszeiträume</w:t>
      </w:r>
      <w:r>
        <w:rPr>
          <w:rFonts w:ascii="Arial" w:cs="Arial" w:eastAsia="Arial" w:hAnsi="Arial"/>
          <w:b w:val="false"/>
          <w:bCs w:val="false"/>
          <w:i w:val="false"/>
          <w:iCs w:val="false"/>
          <w:color w:val="1A1A1A"/>
          <w:sz w:val="21"/>
          <w:szCs w:val="21"/>
        </w:rPr>
        <w:t xml:space="preserve"> werden dem Kunden in diesem Fall </w:t>
      </w:r>
      <w:r>
        <w:rPr>
          <w:rFonts w:ascii="Arial" w:cs="Arial" w:eastAsia="Arial" w:hAnsi="Arial"/>
          <w:b/>
          <w:bCs/>
          <w:i w:val="false"/>
          <w:iCs w:val="false"/>
          <w:color w:val="1A1A1A"/>
          <w:sz w:val="21"/>
          <w:szCs w:val="21"/>
        </w:rPr>
        <w:t xml:space="preserve">anteilig zurückerstattet</w:t>
      </w:r>
      <w:r>
        <w:rPr>
          <w:rFonts w:ascii="Arial" w:cs="Arial" w:eastAsia="Arial" w:hAnsi="Arial"/>
          <w:b w:val="false"/>
          <w:bCs w:val="false"/>
          <w:i w:val="false"/>
          <w:iCs w:val="false"/>
          <w:color w:val="1A1A1A"/>
          <w:sz w:val="21"/>
          <w:szCs w:val="21"/>
        </w:rPr>
        <w:t xml:space="preserve">.</w:t>
      </w:r>
    </w:p>
    <w:p>
      <w:pPr>
        <w:pStyle w:val="Heading1"/>
        <w:keepNext/>
        <w:spacing w:after="100" w:before="260"/>
      </w:pPr>
      <w:r>
        <w:rPr>
          <w:rFonts w:ascii="Arial" w:cs="Arial" w:eastAsia="Arial" w:hAnsi="Arial"/>
          <w:b/>
          <w:bCs/>
          <w:color w:val="1F3A8A"/>
          <w:sz w:val="24"/>
          <w:szCs w:val="24"/>
        </w:rPr>
        <w:t xml:space="preserve">§ 23  </w:t>
      </w:r>
      <w:r>
        <w:rPr>
          <w:rFonts w:ascii="Arial" w:cs="Arial" w:eastAsia="Arial" w:hAnsi="Arial"/>
          <w:b/>
          <w:bCs/>
          <w:i w:val="false"/>
          <w:iCs w:val="false"/>
          <w:color w:val="0B0B0F"/>
          <w:sz w:val="24"/>
          <w:szCs w:val="24"/>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NexAI schuldet keine bestimmte Verfügbarkeit im Sinne einer Garantie, sondern ein fachgerechtes Bemühen um einen möglichst störungsfreien Betrieb (</w:t>
      </w:r>
      <w:r>
        <w:rPr>
          <w:rFonts w:ascii="Arial" w:cs="Arial" w:eastAsia="Arial" w:hAnsi="Arial"/>
          <w:b/>
          <w:bCs/>
          <w:i w:val="false"/>
          <w:iCs w:val="false"/>
          <w:color w:val="1A1A1A"/>
          <w:sz w:val="21"/>
          <w:szCs w:val="21"/>
        </w:rPr>
        <w:t xml:space="preserve">Bemühensschuld</w:t>
      </w:r>
      <w:r>
        <w:rPr>
          <w:rFonts w:ascii="Arial" w:cs="Arial" w:eastAsia="Arial" w:hAnsi="Arial"/>
          <w:b w:val="false"/>
          <w:bCs w:val="false"/>
          <w:i w:val="false"/>
          <w:iCs w:val="false"/>
          <w:color w:val="1A1A1A"/>
          <w:sz w:val="21"/>
          <w:szCs w:val="21"/>
        </w:rPr>
        <w:t xml:space="preserve">). Verfügbarkeitsziele, Wartungsfenster und Reaktionszeiten ergeben sich, soweit vereinbart, aus Anlage C (SLA).</w:t>
      </w:r>
    </w:p>
    <w:p>
      <w:pPr>
        <w:pStyle w:val="Heading1"/>
        <w:keepNext/>
        <w:spacing w:after="100" w:before="260"/>
      </w:pPr>
      <w:r>
        <w:rPr>
          <w:rFonts w:ascii="Arial" w:cs="Arial" w:eastAsia="Arial" w:hAnsi="Arial"/>
          <w:b/>
          <w:bCs/>
          <w:color w:val="1F3A8A"/>
          <w:sz w:val="24"/>
          <w:szCs w:val="24"/>
        </w:rPr>
        <w:t xml:space="preserve">§ 24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Erklärungen des Kunden mit Vertragsrelevanz, insbesondere Kündigungen, Widersprüche und Sonderkündigungen, bedürfen mindestens der Textform (§ 126b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Vorrang von Individualabreden:</w:t>
      </w:r>
      <w:r>
        <w:rPr>
          <w:rFonts w:ascii="Arial" w:cs="Arial" w:eastAsia="Arial" w:hAnsi="Arial"/>
          <w:b w:val="false"/>
          <w:bCs w:val="false"/>
          <w:i w:val="false"/>
          <w:iCs w:val="false"/>
          <w:color w:val="1A1A1A"/>
          <w:sz w:val="21"/>
          <w:szCs w:val="21"/>
        </w:rPr>
        <w:t xml:space="preserve"> Individuell ausgehandelte Abreden gehen den Regelungen dieses Rahmenvertrags und der Anlagen vor (§ 305b BGB).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Abwehrklausel:</w:t>
      </w:r>
      <w:r>
        <w:rPr>
          <w:rFonts w:ascii="Arial" w:cs="Arial" w:eastAsia="Arial" w:hAnsi="Arial"/>
          <w:b w:val="false"/>
          <w:bCs w:val="false"/>
          <w:i w:val="false"/>
          <w:iCs w:val="false"/>
          <w:color w:val="1A1A1A"/>
          <w:sz w:val="21"/>
          <w:szCs w:val="21"/>
        </w:rPr>
        <w:t xml:space="preserve"> Allgemeine Geschäfts- oder Einkaufsbedingungen des Kunden finden keine Anwendung, auch wenn NexAI ihnen nicht ausdrücklich widerspricht oder in Kenntnis solcher Bedingungen Leistungen erbringt.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Abtretung / Vertragsübernahme:</w:t>
      </w:r>
      <w:r>
        <w:rPr>
          <w:rFonts w:ascii="Arial" w:cs="Arial" w:eastAsia="Arial" w:hAnsi="Arial"/>
          <w:b w:val="false"/>
          <w:bCs w:val="false"/>
          <w:i w:val="false"/>
          <w:iCs w:val="false"/>
          <w:color w:val="1A1A1A"/>
          <w:sz w:val="21"/>
          <w:szCs w:val="21"/>
        </w:rPr>
        <w:t xml:space="preserve"> Der Kunde kann Rechte und Pflichten aus diesem Vertrag nur mit vorheriger Zustimmung von NexAI in Textform auf Dritte übertragen; § 354a HGB bleibt unberührt. NexAI ist berechtigt, zur Leistungserbringung Subunternehmer einzusetzen (§ 20).</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Salvatorische Klausel:</w:t>
      </w:r>
      <w:r>
        <w:rPr>
          <w:rFonts w:ascii="Arial" w:cs="Arial" w:eastAsia="Arial" w:hAnsi="Arial"/>
          <w:b w:val="false"/>
          <w:bCs w:val="false"/>
          <w:i w:val="false"/>
          <w:iCs w:val="false"/>
          <w:color w:val="1A1A1A"/>
          <w:sz w:val="21"/>
          <w:szCs w:val="21"/>
        </w:rPr>
        <w:t xml:space="preserve"> Sollten einzelne Bestimmungen dieses Vertrags ganz oder teilweise unwirksam oder undurchführbar sein oder werden, so bleibt die Wirksamkeit der übrigen Bestimmungen unberührt. Die Parteien werden eine unwirksame oder undurchführbare Bestimmung durch eine wirksame ersetzen, die dem wirtschaftlich Gewollten am nächsten kommt; entsprechendes gilt für Regelungslücken. Eine Umdeutung in eine bloße Geltung dispositiven Rechts findet insoweit nicht statt.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Anwendbares Recht:</w:t>
      </w:r>
      <w:r>
        <w:rPr>
          <w:rFonts w:ascii="Arial" w:cs="Arial" w:eastAsia="Arial" w:hAnsi="Arial"/>
          <w:b w:val="false"/>
          <w:bCs w:val="false"/>
          <w:i w:val="false"/>
          <w:iCs w:val="false"/>
          <w:color w:val="1A1A1A"/>
          <w:sz w:val="21"/>
          <w:szCs w:val="21"/>
        </w:rPr>
        <w:t xml:space="preserve"> Es gilt das Recht der Bundesrepublik Deutschland unter Ausschluss des UN-Kaufrechts (CISG).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Gerichtsstand:</w:t>
      </w:r>
      <w:r>
        <w:rPr>
          <w:rFonts w:ascii="Arial" w:cs="Arial" w:eastAsia="Arial" w:hAnsi="Arial"/>
          <w:b w:val="false"/>
          <w:bCs w:val="false"/>
          <w:i w:val="false"/>
          <w:iCs w:val="false"/>
          <w:color w:val="1A1A1A"/>
          <w:sz w:val="21"/>
          <w:szCs w:val="21"/>
        </w:rPr>
        <w:t xml:space="preserve"> Ausschließlicher Gerichtsstand für alle Streitigkeiten aus und im Zusammenhang mit diesem Vertrag ist, soweit der Kunde Kaufmann, juristische Person des öffentlichen Rechts oder öffentlich-rechtliches Sondervermögen ist, der </w:t>
      </w:r>
      <w:r>
        <w:rPr>
          <w:rFonts w:ascii="Arial" w:cs="Arial" w:eastAsia="Arial" w:hAnsi="Arial"/>
          <w:b/>
          <w:bCs/>
          <w:i w:val="false"/>
          <w:iCs w:val="false"/>
          <w:color w:val="1A1A1A"/>
          <w:sz w:val="21"/>
          <w:szCs w:val="21"/>
        </w:rPr>
        <w:t xml:space="preserve">Sitz von NexAI</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ist ein sorgfältig erstellter Entwurf. Er ersetzt keine Rechtsberatung und sollte vor Verwendung im Einzelfall anwaltlich geprüft und an die konkreten Umstände angepasst werden.</w:t>
      </w:r>
    </w:p>
    <w:p>
      <w:pPr>
        <w:spacing w:after="32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Auftragsformular / Leistungsschein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Individualabrede zum Rahmenvertrag über KI-Agenten und digitale Assistenten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Auftragsformular (nachfolgend "Leistungsschein") konkretisiert die konkret beauftragten Leistungen, Beträge und Rahmenbedingungen zwischen den nachstehenden Parteien. Er ist ein </w:t>
      </w:r>
      <w:r>
        <w:rPr>
          <w:rFonts w:ascii="Arial" w:cs="Arial" w:eastAsia="Arial" w:hAnsi="Arial"/>
          <w:b/>
          <w:bCs/>
          <w:i w:val="false"/>
          <w:iCs w:val="false"/>
          <w:color w:val="1A1A1A"/>
          <w:sz w:val="21"/>
          <w:szCs w:val="21"/>
        </w:rPr>
        <w:t xml:space="preserve">Vertragsdokument</w:t>
      </w:r>
      <w:r>
        <w:rPr>
          <w:rFonts w:ascii="Arial" w:cs="Arial" w:eastAsia="Arial" w:hAnsi="Arial"/>
          <w:b w:val="false"/>
          <w:bCs w:val="false"/>
          <w:i w:val="false"/>
          <w:iCs w:val="false"/>
          <w:color w:val="1A1A1A"/>
          <w:sz w:val="21"/>
          <w:szCs w:val="21"/>
        </w:rPr>
        <w:t xml:space="preserve"> im Sinne des Rahmenvertrags und stellt eine </w:t>
      </w:r>
      <w:r>
        <w:rPr>
          <w:rFonts w:ascii="Arial" w:cs="Arial" w:eastAsia="Arial" w:hAnsi="Arial"/>
          <w:b/>
          <w:bCs/>
          <w:i w:val="false"/>
          <w:iCs w:val="false"/>
          <w:color w:val="1A1A1A"/>
          <w:sz w:val="21"/>
          <w:szCs w:val="21"/>
        </w:rPr>
        <w:t xml:space="preserve">Individualabrede</w:t>
      </w:r>
      <w:r>
        <w:rPr>
          <w:rFonts w:ascii="Arial" w:cs="Arial" w:eastAsia="Arial" w:hAnsi="Arial"/>
          <w:b w:val="false"/>
          <w:bCs w:val="false"/>
          <w:i w:val="false"/>
          <w:iCs w:val="false"/>
          <w:color w:val="1A1A1A"/>
          <w:sz w:val="21"/>
          <w:szCs w:val="21"/>
        </w:rPr>
        <w:t xml:space="preserve"> dar. Bei Widersprüchen zwischen diesem Leistungsschein, dem Rahmenvertrag, den Anlagen und den AGB (B2B) gilt die im Rahmenvertrag festgelegte Rangfolge. Die in diesem Leistungsschein getroffenen individuellen Vereinbarungen gehen den AGB (B2B) als Individualabrede nach § 305b BGB vor.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Vertragsparteien</w:t>
      </w:r>
    </w:p>
    <w:p>
      <w:pPr>
        <w:pStyle w:val="Heading2"/>
        <w:keepNext/>
        <w:spacing w:after="80" w:before="160"/>
      </w:pPr>
      <w:r>
        <w:rPr>
          <w:rFonts w:ascii="Arial" w:cs="Arial" w:eastAsia="Arial" w:hAnsi="Arial"/>
          <w:b/>
          <w:bCs/>
          <w:i w:val="false"/>
          <w:iCs w:val="false"/>
          <w:color w:val="0B0B0F"/>
          <w:sz w:val="21"/>
          <w:szCs w:val="21"/>
        </w:rPr>
        <w:t xml:space="preserve">Auftragnehmer ("NexAI")</w:t>
      </w:r>
    </w:p>
    <w:p>
      <w:pPr>
        <w:spacing w:after="120" w:line="276"/>
        <w:jc w:val="both"/>
      </w:pPr>
      <w:r>
        <w:rPr>
          <w:rFonts w:ascii="Arial" w:cs="Arial" w:eastAsia="Arial" w:hAnsi="Arial"/>
          <w:b w:val="false"/>
          <w:bCs w:val="false"/>
          <w:i w:val="false"/>
          <w:iCs w:val="false"/>
          <w:color w:val="1A1A1A"/>
          <w:sz w:val="21"/>
          <w:szCs w:val="21"/>
        </w:rPr>
        <w:t xml:space="preserve">NexAI – Next Generation Artificial Intelligence GbR, Untere Bergstraße 13, 74586 Frankenhardt-Honhardt, Deutschland, vertreten durch die Gesellschafter Maximilian Trenk und Jason Brian Merklein, E-Mail mbt@nex-a-i.com, Telefon 0176 80714816.</w:t>
      </w:r>
    </w:p>
    <w:p>
      <w:pPr>
        <w:pStyle w:val="Heading2"/>
        <w:keepNext/>
        <w:spacing w:after="80" w:before="160"/>
      </w:pPr>
      <w:r>
        <w:rPr>
          <w:rFonts w:ascii="Arial" w:cs="Arial" w:eastAsia="Arial" w:hAnsi="Arial"/>
          <w:b/>
          <w:bCs/>
          <w:i w:val="false"/>
          <w:iCs w:val="false"/>
          <w:color w:val="0B0B0F"/>
          <w:sz w:val="21"/>
          <w:szCs w:val="21"/>
        </w:rPr>
        <w:t xml:space="preserve">Auftraggeber ("Kunde")</w:t>
      </w:r>
    </w:p>
    <w:p>
      <w:pPr>
        <w:spacing w:after="120"/>
      </w:pPr>
      <w:r>
        <w:rPr>
          <w:rFonts w:ascii="Arial" w:cs="Arial" w:eastAsia="Arial" w:hAnsi="Arial"/>
          <w:b/>
          <w:bCs/>
          <w:color w:val="1A1A1A"/>
          <w:sz w:val="21"/>
          <w:szCs w:val="21"/>
        </w:rPr>
        <w:t xml:space="preserve">Firma / Unternehmen: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 Funktion: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Handelsregister / Registergericht (soweit vorhanden):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Kunde bestätigt, den Vertrag als Unternehmer im Sinne des § 14 BGB in Ausübung seiner gewerblichen oder selbständigen beruflichen Tätigkeit abzuschließen (B2B).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Bezug zum Rahmenvertrag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Diesem Leistungsschein liegt der zwischen den Parteien geschlossene Rahmenvertrag über die Bereitstellung und den Betrieb von KI-Agenten (nachfolgend "Rahmenvertrag") nebst seinen Anlagen zugrunde. Die dort definierten Begriffe gelten in diesem Leistungsschein einheitlich.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Unterzeichnung dieses Leistungsscheins bestätigt der Kunde, dass ihm der Rahmenvertrag, die AGB (B2B) sowie die Anlagen A (Leistungsbeschreibung), B (AVV), C (SLA) und D (Abnahmeprotokoll) vorliegen und Vertragsbestandteil sind.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datenschutzrechtliche Rollenverteilung (Verantwortlicher / Auftragsverarbeiter) richtet sich nach Anlage B (AVV); die Rollenverteilung nach der KI-VO ergibt sich aus Ziffer 4 dieses Leistungsscheins.</w:t>
      </w:r>
    </w:p>
    <w:p>
      <w:pPr>
        <w:spacing w:after="120"/>
      </w:pPr>
      <w:r>
        <w:rPr>
          <w:rFonts w:ascii="Arial" w:cs="Arial" w:eastAsia="Arial" w:hAnsi="Arial"/>
          <w:b/>
          <w:bCs/>
          <w:color w:val="1A1A1A"/>
          <w:sz w:val="21"/>
          <w:szCs w:val="21"/>
        </w:rPr>
        <w:t xml:space="preserve">Rahmenvertrag vom / Version: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Der Kunde beauftragt die nachfolgend angekreuzten Leistungen. Die nähere Beschreibung ergibt sich aus Anlage A (Leistungsbeschreibung).</w:t>
      </w:r>
    </w:p>
    <w:p>
      <w:pPr>
        <w:pStyle w:val="Heading2"/>
        <w:keepNext/>
        <w:spacing w:after="80" w:before="160"/>
      </w:pPr>
      <w:r>
        <w:rPr>
          <w:rFonts w:ascii="Arial" w:cs="Arial" w:eastAsia="Arial" w:hAnsi="Arial"/>
          <w:b/>
          <w:bCs/>
          <w:i w:val="false"/>
          <w:iCs w:val="false"/>
          <w:color w:val="0B0B0F"/>
          <w:sz w:val="21"/>
          <w:szCs w:val="21"/>
        </w:rPr>
        <w:t xml:space="preserve">3.1 Betriebsleistungen (laufender Betrieb von Agenten)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(KI-Telefonassistent für ein- und/oder ausgehende Gespräche)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(KI-Chatassistent für Website, Messenger o. Ä.)</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Social-Media-Agent</w:t>
      </w:r>
      <w:r>
        <w:rPr>
          <w:rFonts w:ascii="Arial" w:cs="Arial" w:eastAsia="Arial" w:hAnsi="Arial"/>
          <w:b w:val="false"/>
          <w:bCs w:val="false"/>
          <w:i w:val="false"/>
          <w:iCs w:val="false"/>
          <w:color w:val="1A1A1A"/>
          <w:sz w:val="21"/>
          <w:szCs w:val="21"/>
        </w:rPr>
        <w:t xml:space="preserve"> (KI-gestützte Betreuung von Social-Media-Kanälen)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Vertriebs-/Akquise-Agent</w:t>
      </w:r>
      <w:r>
        <w:rPr>
          <w:rFonts w:ascii="Arial" w:cs="Arial" w:eastAsia="Arial" w:hAnsi="Arial"/>
          <w:b w:val="false"/>
          <w:bCs w:val="false"/>
          <w:i w:val="false"/>
          <w:iCs w:val="false"/>
          <w:color w:val="1A1A1A"/>
          <w:sz w:val="21"/>
          <w:szCs w:val="21"/>
        </w:rPr>
        <w:t xml:space="preserve"> (KI-gestützte B2B-Kontaktansprache)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Automatisierung</w:t>
      </w:r>
      <w:r>
        <w:rPr>
          <w:rFonts w:ascii="Arial" w:cs="Arial" w:eastAsia="Arial" w:hAnsi="Arial"/>
          <w:b w:val="false"/>
          <w:bCs w:val="false"/>
          <w:i w:val="false"/>
          <w:iCs w:val="false"/>
          <w:color w:val="1A1A1A"/>
          <w:sz w:val="21"/>
          <w:szCs w:val="21"/>
        </w:rPr>
        <w:t xml:space="preserve"> (Prozess-/Workflow-Automatisierungen)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Individuelle KI-Agenten</w:t>
      </w:r>
      <w:r>
        <w:rPr>
          <w:rFonts w:ascii="Arial" w:cs="Arial" w:eastAsia="Arial" w:hAnsi="Arial"/>
          <w:b w:val="false"/>
          <w:bCs w:val="false"/>
          <w:i w:val="false"/>
          <w:iCs w:val="false"/>
          <w:color w:val="1A1A1A"/>
          <w:sz w:val="21"/>
          <w:szCs w:val="21"/>
        </w:rPr>
        <w:t xml:space="preserve"> (kundenspezifisch entwickelte Agenten)</w:t>
      </w:r>
    </w:p>
    <w:p>
      <w:pPr>
        <w:pStyle w:val="Heading2"/>
        <w:keepNext/>
        <w:spacing w:after="80" w:before="160"/>
      </w:pPr>
      <w:r>
        <w:rPr>
          <w:rFonts w:ascii="Arial" w:cs="Arial" w:eastAsia="Arial" w:hAnsi="Arial"/>
          <w:b/>
          <w:bCs/>
          <w:i w:val="false"/>
          <w:iCs w:val="false"/>
          <w:color w:val="0B0B0F"/>
          <w:sz w:val="21"/>
          <w:szCs w:val="21"/>
        </w:rPr>
        <w:t xml:space="preserve">3.2 Projektleistungen (einmalige Werkleistungen)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Website-Erstellung</w:t>
      </w:r>
      <w:r>
        <w:rPr>
          <w:rFonts w:ascii="Arial" w:cs="Arial" w:eastAsia="Arial" w:hAnsi="Arial"/>
          <w:b w:val="false"/>
          <w:bCs w:val="false"/>
          <w:i w:val="false"/>
          <w:iCs w:val="false"/>
          <w:color w:val="1A1A1A"/>
          <w:sz w:val="21"/>
          <w:szCs w:val="21"/>
        </w:rPr>
        <w:t xml:space="preserve"> (Erstellung/Bereitstellung einer Website als Werkleistung; Abnahme nach Anlage D)</w:t>
      </w:r>
    </w:p>
    <w:p>
      <w:pPr>
        <w:spacing w:after="140" w:before="80"/>
      </w:pPr>
      <w:r>
        <w:rPr>
          <w:rFonts w:ascii="Arial" w:cs="Arial" w:eastAsia="Arial" w:hAnsi="Arial"/>
          <w:b w:val="false"/>
          <w:bCs w:val="false"/>
          <w:i/>
          <w:iCs/>
          <w:color w:val="6B7280"/>
          <w:sz w:val="18"/>
          <w:szCs w:val="18"/>
        </w:rPr>
        <w:t xml:space="preserve">Projektleistungen unterliegen dem Werkvertragsrecht, Betriebsleistungen dem Dienstvertragsrecht. Für den Vertriebs-/Akquise-Agenten gelten die besonderen Compliance-Zusicherungen des Kunden nach dem Rahmenvertrag (zulässige B2B-Ansprache, Informationspflichten nach Art. 14 DSGVO, Opt-out-Dokumentation).</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beauftragten Agenten ist der verbindliche Einsatzzweck festzulegen. Der Kunde bestätigt für jeden Agenten, dass </w:t>
      </w:r>
      <w:r>
        <w:rPr>
          <w:rFonts w:ascii="Arial" w:cs="Arial" w:eastAsia="Arial" w:hAnsi="Arial"/>
          <w:b/>
          <w:bCs/>
          <w:i w:val="false"/>
          <w:iCs w:val="false"/>
          <w:color w:val="1A1A1A"/>
          <w:sz w:val="21"/>
          <w:szCs w:val="21"/>
        </w:rPr>
        <w:t xml:space="preserve">kein Hochrisiko-Einsatz nach Anhang III der Verordnung (EU) 2024/1689 (KI-VO)</w:t>
      </w:r>
      <w:r>
        <w:rPr>
          <w:rFonts w:ascii="Arial" w:cs="Arial" w:eastAsia="Arial" w:hAnsi="Arial"/>
          <w:b w:val="false"/>
          <w:bCs w:val="false"/>
          <w:i w:val="false"/>
          <w:iCs w:val="false"/>
          <w:color w:val="1A1A1A"/>
          <w:sz w:val="21"/>
          <w:szCs w:val="21"/>
        </w:rPr>
        <w:t xml:space="preserve"> vorliegt und die Agenten ausschließlich für die angegebenen Zwecke eingesetzt werden. NexAI ist für die Bereitstellung und den Betrieb </w:t>
      </w:r>
      <w:r>
        <w:rPr>
          <w:rFonts w:ascii="Arial" w:cs="Arial" w:eastAsia="Arial" w:hAnsi="Arial"/>
          <w:b/>
          <w:bCs/>
          <w:i w:val="false"/>
          <w:iCs w:val="false"/>
          <w:color w:val="1A1A1A"/>
          <w:sz w:val="21"/>
          <w:szCs w:val="21"/>
        </w:rPr>
        <w:t xml:space="preserve">Anbieter</w:t>
      </w:r>
      <w:r>
        <w:rPr>
          <w:rFonts w:ascii="Arial" w:cs="Arial" w:eastAsia="Arial" w:hAnsi="Arial"/>
          <w:b w:val="false"/>
          <w:bCs w:val="false"/>
          <w:i w:val="false"/>
          <w:iCs w:val="false"/>
          <w:color w:val="1A1A1A"/>
          <w:sz w:val="21"/>
          <w:szCs w:val="21"/>
        </w:rPr>
        <w:t xml:space="preserve">, der Kunde als bestimmungsgemäßer Einsetzender </w:t>
      </w:r>
      <w:r>
        <w:rPr>
          <w:rFonts w:ascii="Arial" w:cs="Arial" w:eastAsia="Arial" w:hAnsi="Arial"/>
          <w:b/>
          <w:bCs/>
          <w:i w:val="false"/>
          <w:iCs w:val="false"/>
          <w:color w:val="1A1A1A"/>
          <w:sz w:val="21"/>
          <w:szCs w:val="21"/>
        </w:rPr>
        <w:t xml:space="preserve">Betreiber</w:t>
      </w:r>
      <w:r>
        <w:rPr>
          <w:rFonts w:ascii="Arial" w:cs="Arial" w:eastAsia="Arial" w:hAnsi="Arial"/>
          <w:b w:val="false"/>
          <w:bCs w:val="false"/>
          <w:i w:val="false"/>
          <w:iCs w:val="false"/>
          <w:color w:val="1A1A1A"/>
          <w:sz w:val="21"/>
          <w:szCs w:val="21"/>
        </w:rPr>
        <w:t xml:space="preserve"> im Sinne der KI-VO; die Betreiberpflichten (u. a. zweckkonforme Verwendung, menschliche Aufsicht) obliegen dem Kunden.</w:t>
      </w:r>
    </w:p>
    <w:p>
      <w:pPr>
        <w:pStyle w:val="Heading2"/>
        <w:keepNext/>
        <w:spacing w:after="80" w:before="160"/>
      </w:pPr>
      <w:r>
        <w:rPr>
          <w:rFonts w:ascii="Arial" w:cs="Arial" w:eastAsia="Arial" w:hAnsi="Arial"/>
          <w:b/>
          <w:bCs/>
          <w:i w:val="false"/>
          <w:iCs w:val="false"/>
          <w:color w:val="0B0B0F"/>
          <w:sz w:val="21"/>
          <w:szCs w:val="21"/>
        </w:rPr>
        <w:t xml:space="preserve">Agent 1</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2</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3</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Bei mehr als drei Agenten ist eine gleichlautende Fortsetzung als Beiblatt zu diesem Leistungsschein zu verwenden.</w:t>
      </w:r>
    </w:p>
    <w:p>
      <w:pPr>
        <w:spacing w:after="80"/>
      </w:pPr>
      <w:r>
        <w:rPr>
          <w:sz w:val="2"/>
          <w:szCs w:val="2"/>
        </w:rPr>
        <w:t xml:space="preserve"/>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Für die Ersteinrichtung der Agenten wird </w:t>
      </w:r>
      <w:r>
        <w:rPr>
          <w:rFonts w:ascii="Arial" w:cs="Arial" w:eastAsia="Arial" w:hAnsi="Arial"/>
          <w:b/>
          <w:bCs/>
          <w:i w:val="false"/>
          <w:iCs w:val="false"/>
          <w:color w:val="1A1A1A"/>
          <w:sz w:val="21"/>
          <w:szCs w:val="21"/>
        </w:rPr>
        <w:t xml:space="preserve">keine Einrichtungs- oder Setup-Gebühr</w:t>
      </w:r>
      <w:r>
        <w:rPr>
          <w:rFonts w:ascii="Arial" w:cs="Arial" w:eastAsia="Arial" w:hAnsi="Arial"/>
          <w:b w:val="false"/>
          <w:bCs w:val="false"/>
          <w:i w:val="false"/>
          <w:iCs w:val="false"/>
          <w:color w:val="1A1A1A"/>
          <w:sz w:val="21"/>
          <w:szCs w:val="21"/>
        </w:rPr>
        <w:t xml:space="preserve"> erhoben. Für Betriebsleistungen fällt ausschließlich der nachstehend vereinbarte monatliche </w:t>
      </w:r>
      <w:r>
        <w:rPr>
          <w:rFonts w:ascii="Arial" w:cs="Arial" w:eastAsia="Arial" w:hAnsi="Arial"/>
          <w:b/>
          <w:bCs/>
          <w:i w:val="false"/>
          <w:iCs w:val="false"/>
          <w:color w:val="1A1A1A"/>
          <w:sz w:val="21"/>
          <w:szCs w:val="21"/>
        </w:rPr>
        <w:t xml:space="preserve">oder</w:t>
      </w:r>
      <w:r>
        <w:rPr>
          <w:rFonts w:ascii="Arial" w:cs="Arial" w:eastAsia="Arial" w:hAnsi="Arial"/>
          <w:b w:val="false"/>
          <w:bCs w:val="false"/>
          <w:i w:val="false"/>
          <w:iCs w:val="false"/>
          <w:color w:val="1A1A1A"/>
          <w:sz w:val="21"/>
          <w:szCs w:val="21"/>
        </w:rPr>
        <w:t xml:space="preserve"> jährliche Beitrag an. Projektleistungen (insbesondere die Website-Erstellung) werden, soweit beauftragt, gesondert und einmalig vergütet. Alle Beträge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Position / Leistung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Modell (monatlich / jährlich / einmalig)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Netto-Betrag (EUR)</w:t>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Summe (netto)</w:t>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Abrechnungsturnus / Fälligkeit (z. B. monatlich im Voraus, jährlich im Voraus):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Umsatzsteuer: Regelbesteuerung; alle Preise netto zzgl. gesetzlicher USt. Bis zur Erteilung der USt-IdNr. wird die Steuernummer auf der Rechnung ausgewiesen.</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je Agent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enthalten. Darüber hinausgehender </w:t>
      </w:r>
      <w:r>
        <w:rPr>
          <w:rFonts w:ascii="Arial" w:cs="Arial" w:eastAsia="Arial" w:hAnsi="Arial"/>
          <w:b/>
          <w:bCs/>
          <w:i w:val="false"/>
          <w:iCs w:val="false"/>
          <w:color w:val="1A1A1A"/>
          <w:sz w:val="21"/>
          <w:szCs w:val="21"/>
        </w:rPr>
        <w:t xml:space="preserve">Mehrverbrauch (Overage)</w:t>
      </w:r>
      <w:r>
        <w:rPr>
          <w:rFonts w:ascii="Arial" w:cs="Arial" w:eastAsia="Arial" w:hAnsi="Arial"/>
          <w:b w:val="false"/>
          <w:bCs w:val="false"/>
          <w:i w:val="false"/>
          <w:iCs w:val="false"/>
          <w:color w:val="1A1A1A"/>
          <w:sz w:val="21"/>
          <w:szCs w:val="21"/>
        </w:rPr>
        <w:t xml:space="preserve"> wird zum nachstehenden Netto-Einheitspreis abgerechnet und mit dem Beitrag des Folgemonats in Rechnung gestellt. Auf Verlangen des Kunden wird ein Einzelverbindungsnachweis bereitgestellt.</w:t>
      </w:r>
    </w:p>
    <w:p>
      <w:pPr>
        <w:spacing w:after="120"/>
      </w:pPr>
      <w:r>
        <w:rPr>
          <w:rFonts w:ascii="Arial" w:cs="Arial" w:eastAsia="Arial" w:hAnsi="Arial"/>
          <w:b/>
          <w:bCs/>
          <w:color w:val="1A1A1A"/>
          <w:sz w:val="21"/>
          <w:szCs w:val="21"/>
        </w:rPr>
        <w:t xml:space="preserve">Freikontingent: </w:t>
      </w:r>
      <w:r>
        <w:rPr>
          <w:rFonts w:ascii="Arial" w:cs="Arial" w:eastAsia="Arial" w:hAnsi="Arial"/>
          <w:color w:val="1A1A1A"/>
          <w:sz w:val="21"/>
          <w:szCs w:val="21"/>
        </w:rPr>
        <w:t xml:space="preserve">____ Min./Monat</w:t>
      </w:r>
    </w:p>
    <w:p>
      <w:pPr>
        <w:spacing w:after="120"/>
      </w:pPr>
      <w:r>
        <w:rPr>
          <w:rFonts w:ascii="Arial" w:cs="Arial" w:eastAsia="Arial" w:hAnsi="Arial"/>
          <w:b/>
          <w:bCs/>
          <w:color w:val="1A1A1A"/>
          <w:sz w:val="21"/>
          <w:szCs w:val="21"/>
        </w:rPr>
        <w:t xml:space="preserve">Mehrverbrauch (Overage): </w:t>
      </w:r>
      <w:r>
        <w:rPr>
          <w:rFonts w:ascii="Arial" w:cs="Arial" w:eastAsia="Arial" w:hAnsi="Arial"/>
          <w:color w:val="1A1A1A"/>
          <w:sz w:val="21"/>
          <w:szCs w:val="21"/>
        </w:rPr>
        <w:t xml:space="preserve">____ EUR/Min. netto</w:t>
      </w:r>
    </w:p>
    <w:p>
      <w:pPr>
        <w:spacing w:after="120"/>
      </w:pPr>
      <w:r>
        <w:rPr>
          <w:rFonts w:ascii="Arial" w:cs="Arial" w:eastAsia="Arial" w:hAnsi="Arial"/>
          <w:b/>
          <w:bCs/>
          <w:color w:val="1A1A1A"/>
          <w:sz w:val="21"/>
          <w:szCs w:val="21"/>
        </w:rPr>
        <w:t xml:space="preserve">Weiteres Kontingent / Einheit (optional, z. B. Nachrichten/Kontakte):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Zur Kostenbegrenzung wird je Agent ein technisches Ausgabenlimit (EUR-Spend-Cap) hinterlegt. Bei Erreichen des Limits kann der Betrieb des betreffenden Agenten technisch gedrosselt oder ausgesetzt werden. Eine Anhebung des Limits bedarf einer dokumentierten Weisung des Kunden.</w:t>
      </w:r>
    </w:p>
    <w:p>
      <w:pPr>
        <w:spacing w:after="120"/>
      </w:pPr>
      <w:r>
        <w:rPr>
          <w:rFonts w:ascii="Arial" w:cs="Arial" w:eastAsia="Arial" w:hAnsi="Arial"/>
          <w:b/>
          <w:bCs/>
          <w:color w:val="1A1A1A"/>
          <w:sz w:val="21"/>
          <w:szCs w:val="21"/>
        </w:rPr>
        <w:t xml:space="preserve">EUR-Spend-Cap Agent 1: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2: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3: </w:t>
      </w:r>
      <w:r>
        <w:rPr>
          <w:rFonts w:ascii="Arial" w:cs="Arial" w:eastAsia="Arial" w:hAnsi="Arial"/>
          <w:color w:val="1A1A1A"/>
          <w:sz w:val="21"/>
          <w:szCs w:val="21"/>
        </w:rPr>
        <w:t xml:space="preserve">____ EUR/Monat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Zahlungsweise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SEPA-Firmenlastschrift (B2B)</w:t>
      </w:r>
      <w:r>
        <w:rPr>
          <w:rFonts w:ascii="Arial" w:cs="Arial" w:eastAsia="Arial" w:hAnsi="Arial"/>
          <w:b w:val="false"/>
          <w:bCs w:val="false"/>
          <w:i w:val="false"/>
          <w:iCs w:val="false"/>
          <w:color w:val="1A1A1A"/>
          <w:sz w:val="21"/>
          <w:szCs w:val="21"/>
        </w:rPr>
        <w:t xml:space="preserve"> — ein gesondertes SEPA-Firmenlastschriftmandat wird erteilt.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 Zahlung nach Rechnungserhalt innerhalb der im Rahmenvertrag / den AGB (B2B) genannten Frist.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Es ist genau eines der folgenden Modelle zu wählen.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 monatlich kündbar mit einer Frist von einem Monat zum Monatsende.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 Mindestlaufzeit 12 Monate, keine anteilige Rückerstattung (der gewährte Rabatt ist Gegenleistung für die Bindung); Verlängerung um jeweils 12 Monate, Kündigung mit einer Frist von einem Monat zum Laufzeitende.</w:t>
      </w:r>
    </w:p>
    <w:p>
      <w:pPr>
        <w:spacing w:after="140" w:before="80"/>
      </w:pPr>
      <w:r>
        <w:rPr>
          <w:rFonts w:ascii="Arial" w:cs="Arial" w:eastAsia="Arial" w:hAnsi="Arial"/>
          <w:b w:val="false"/>
          <w:bCs w:val="false"/>
          <w:i/>
          <w:iCs/>
          <w:color w:val="6B7280"/>
          <w:sz w:val="18"/>
          <w:szCs w:val="18"/>
        </w:rPr>
        <w:t xml:space="preserve">Das Recht zur außerordentlichen Kündigung aus wichtigem Grund bleibt für beide Parteien unberührt.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Befugnisse der Agenten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Die Agenten geben </w:t>
      </w: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ab (keine verbindlichen Preise, Bestellungen oder Vertragsabschlüsse). Sie sind auf </w:t>
      </w:r>
      <w:r>
        <w:rPr>
          <w:rFonts w:ascii="Arial" w:cs="Arial" w:eastAsia="Arial" w:hAnsi="Arial"/>
          <w:b/>
          <w:bCs/>
          <w:i w:val="false"/>
          <w:iCs w:val="false"/>
          <w:color w:val="1A1A1A"/>
          <w:sz w:val="21"/>
          <w:szCs w:val="21"/>
        </w:rPr>
        <w:t xml:space="preserve">Auskunft und Terminvereinbarung</w:t>
      </w:r>
      <w:r>
        <w:rPr>
          <w:rFonts w:ascii="Arial" w:cs="Arial" w:eastAsia="Arial" w:hAnsi="Arial"/>
          <w:b w:val="false"/>
          <w:bCs w:val="false"/>
          <w:i w:val="false"/>
          <w:iCs w:val="false"/>
          <w:color w:val="1A1A1A"/>
          <w:sz w:val="21"/>
          <w:szCs w:val="21"/>
        </w:rPr>
        <w:t xml:space="preserve"> beschränkt (</w:t>
      </w:r>
      <w:r>
        <w:rPr>
          <w:rFonts w:ascii="Arial" w:cs="Arial" w:eastAsia="Arial" w:hAnsi="Arial"/>
          <w:b/>
          <w:bCs/>
          <w:i w:val="false"/>
          <w:iCs w:val="false"/>
          <w:color w:val="1A1A1A"/>
          <w:sz w:val="21"/>
          <w:szCs w:val="21"/>
        </w:rPr>
        <w:t xml:space="preserve">keine Abschlussvollmacht</w:t>
      </w:r>
      <w:r>
        <w:rPr>
          <w:rFonts w:ascii="Arial" w:cs="Arial" w:eastAsia="Arial" w:hAnsi="Arial"/>
          <w:b w:val="false"/>
          <w:bCs w:val="false"/>
          <w:i w:val="false"/>
          <w:iCs w:val="false"/>
          <w:color w:val="1A1A1A"/>
          <w:sz w:val="21"/>
          <w:szCs w:val="21"/>
        </w:rPr>
        <w:t xml:space="preserve">).</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KI-Kennzeichnung/Transparenzpflicht nach Art. 50 KI-VO</w:t>
      </w:r>
      <w:r>
        <w:rPr>
          <w:rFonts w:ascii="Arial" w:cs="Arial" w:eastAsia="Arial" w:hAnsi="Arial"/>
          <w:b w:val="false"/>
          <w:bCs w:val="false"/>
          <w:i w:val="false"/>
          <w:iCs w:val="false"/>
          <w:color w:val="1A1A1A"/>
          <w:sz w:val="21"/>
          <w:szCs w:val="21"/>
        </w:rPr>
        <w:t xml:space="preserve"> ist verbindlicher, nicht abschaltbarer Leistungsbestandteil: Endnutzer werden stets darauf hingewiesen, dass sie mit einem KI-System interagieren.</w:t>
      </w:r>
    </w:p>
    <w:p>
      <w:pPr>
        <w:spacing w:after="120" w:line="276"/>
        <w:jc w:val="both"/>
      </w:pPr>
      <w:r>
        <w:rPr>
          <w:rFonts w:ascii="Arial" w:cs="Arial" w:eastAsia="Arial" w:hAnsi="Arial"/>
          <w:b/>
          <w:bCs/>
          <w:i w:val="false"/>
          <w:iCs w:val="false"/>
          <w:color w:val="1A1A1A"/>
          <w:sz w:val="21"/>
          <w:szCs w:val="21"/>
        </w:rPr>
        <w:t xml:space="preserve">Aufzeichnung/Transkription</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und wird nur auf dokumentierte Weisung des Kunden aktiviert. Bei aktivierter Aufzeichnung erfolgt zusätzlich zur KI-Ansage ein Aufzeichnungshinweis. Der Kunde ist für das Vorliegen einer tragfähigen Rechtsgrundlage der Aufzeichnung verantwortlich.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Aufzeichnung/Transkription </w:t>
      </w:r>
      <w:r>
        <w:rPr>
          <w:rFonts w:ascii="Arial" w:cs="Arial" w:eastAsia="Arial" w:hAnsi="Arial"/>
          <w:b/>
          <w:bCs/>
          <w:i w:val="false"/>
          <w:iCs w:val="false"/>
          <w:color w:val="1A1A1A"/>
          <w:sz w:val="21"/>
          <w:szCs w:val="21"/>
        </w:rPr>
        <w:t xml:space="preserve">deaktiviert (Standard)</w:t>
      </w:r>
      <w:r>
        <w:rPr>
          <w:rFonts w:ascii="Arial" w:cs="Arial" w:eastAsia="Arial" w:hAnsi="Arial"/>
          <w:b w:val="false"/>
          <w:bCs w:val="false"/>
          <w:i w:val="false"/>
          <w:iCs w:val="false"/>
          <w:color w:val="1A1A1A"/>
          <w:sz w:val="21"/>
          <w:szCs w:val="21"/>
        </w:rPr>
        <w:t xml:space="preserv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Aufzeichnung/Transkription </w:t>
      </w:r>
      <w:r>
        <w:rPr>
          <w:rFonts w:ascii="Arial" w:cs="Arial" w:eastAsia="Arial" w:hAnsi="Arial"/>
          <w:b/>
          <w:bCs/>
          <w:i w:val="false"/>
          <w:iCs w:val="false"/>
          <w:color w:val="1A1A1A"/>
          <w:sz w:val="21"/>
          <w:szCs w:val="21"/>
        </w:rPr>
        <w:t xml:space="preserve">auf Weisung aktiviert</w:t>
      </w:r>
      <w:r>
        <w:rPr>
          <w:rFonts w:ascii="Arial" w:cs="Arial" w:eastAsia="Arial" w:hAnsi="Arial"/>
          <w:b w:val="false"/>
          <w:bCs w:val="false"/>
          <w:i w:val="false"/>
          <w:iCs w:val="false"/>
          <w:color w:val="1A1A1A"/>
          <w:sz w:val="21"/>
          <w:szCs w:val="21"/>
        </w:rPr>
        <w:t xml:space="preserve"> (Pflicht-Ansage mit Aufzeichnungshinweis).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Rufnummern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vom Kunden mitgebracht</w:t>
      </w:r>
      <w:r>
        <w:rPr>
          <w:rFonts w:ascii="Arial" w:cs="Arial" w:eastAsia="Arial" w:hAnsi="Arial"/>
          <w:b w:val="false"/>
          <w:bCs w:val="false"/>
          <w:i w:val="false"/>
          <w:iCs w:val="false"/>
          <w:color w:val="1A1A1A"/>
          <w:sz w:val="21"/>
          <w:szCs w:val="21"/>
        </w:rPr>
        <w:t xml:space="preserve"> (Kundeneigentum).</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von NexAI gestellt</w:t>
      </w:r>
      <w:r>
        <w:rPr>
          <w:rFonts w:ascii="Arial" w:cs="Arial" w:eastAsia="Arial" w:hAnsi="Arial"/>
          <w:b w:val="false"/>
          <w:bCs w:val="false"/>
          <w:i w:val="false"/>
          <w:iCs w:val="false"/>
          <w:color w:val="1A1A1A"/>
          <w:sz w:val="21"/>
          <w:szCs w:val="21"/>
        </w:rPr>
        <w:t xml:space="preserve"> (Betriebsmittel; kein Herausgabeanspruch).</w:t>
      </w:r>
    </w:p>
    <w:p>
      <w:pPr>
        <w:spacing w:after="120"/>
      </w:pPr>
      <w:r>
        <w:rPr>
          <w:rFonts w:ascii="Arial" w:cs="Arial" w:eastAsia="Arial" w:hAnsi="Arial"/>
          <w:b/>
          <w:bCs/>
          <w:color w:val="1A1A1A"/>
          <w:sz w:val="21"/>
          <w:szCs w:val="21"/>
        </w:rPr>
        <w:t xml:space="preserve">Betroffene Rufnummer(n):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Registrierungsinhaber der Rufnummer(n):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Notfall- und Rückfallkontakt</w:t>
      </w:r>
    </w:p>
    <w:p>
      <w:pPr>
        <w:spacing w:after="120"/>
      </w:pPr>
      <w:r>
        <w:rPr>
          <w:rFonts w:ascii="Arial" w:cs="Arial" w:eastAsia="Arial" w:hAnsi="Arial"/>
          <w:b/>
          <w:bCs/>
          <w:color w:val="1A1A1A"/>
          <w:sz w:val="21"/>
          <w:szCs w:val="21"/>
        </w:rPr>
        <w:t xml:space="preserve">Notfallkontakt (Name):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Notfallkontakt (Telefon / 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Optionale Rückfallnummer (Fallback bei Nichterreichbarkeit des Agenten):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Einrichtung und Start</w:t>
      </w:r>
    </w:p>
    <w:p>
      <w:pPr>
        <w:spacing w:after="120"/>
      </w:pPr>
      <w:r>
        <w:rPr>
          <w:rFonts w:ascii="Arial" w:cs="Arial" w:eastAsia="Arial" w:hAnsi="Arial"/>
          <w:b/>
          <w:bCs/>
          <w:color w:val="1A1A1A"/>
          <w:sz w:val="21"/>
          <w:szCs w:val="21"/>
        </w:rPr>
        <w:t xml:space="preserve">Geplanter Einrichtungs-/Startzeitpunkt: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Übliche Einrichtungsdauer ab vollständiger Bereitstellung der erforderlichen Mitwirkung und Zugänge: 3–10 Werktage. Der genannte Zeitpunkt ist ein unverbindlicher Zielwert, kein Fixtermin im Sinne des § 323 Abs. 2 Nr. 2 BGB.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kann eine einmalige Ablösesumme für die dauerhafte Weiternutzung der für den Kunden erstellten Prompts/Konfigurationen nach Vertragsende vereinbart werden. Ohne eine solche Vereinbarung besteht kein Anspruch auf Herausgabe oder Weiternutzung der Prompts/Konfigurationen.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Ablösesumme für dauerhafte Prompt-Weiternutzung nach Vertragsende </w:t>
      </w:r>
      <w:r>
        <w:rPr>
          <w:rFonts w:ascii="Arial" w:cs="Arial" w:eastAsia="Arial" w:hAnsi="Arial"/>
          <w:b/>
          <w:bCs/>
          <w:i w:val="false"/>
          <w:iCs w:val="false"/>
          <w:color w:val="1A1A1A"/>
          <w:sz w:val="21"/>
          <w:szCs w:val="21"/>
        </w:rPr>
        <w:t xml:space="preserve">vereinbart</w:t>
      </w:r>
      <w:r>
        <w:rPr>
          <w:rFonts w:ascii="Arial" w:cs="Arial" w:eastAsia="Arial" w:hAnsi="Arial"/>
          <w:b w:val="false"/>
          <w:bCs w:val="false"/>
          <w:i w:val="false"/>
          <w:iCs w:val="false"/>
          <w:color w:val="1A1A1A"/>
          <w:sz w:val="21"/>
          <w:szCs w:val="21"/>
        </w:rPr>
        <w:t xml:space="preserve">.</w:t>
      </w:r>
    </w:p>
    <w:p>
      <w:pPr>
        <w:spacing w:after="120"/>
      </w:pPr>
      <w:r>
        <w:rPr>
          <w:rFonts w:ascii="Arial" w:cs="Arial" w:eastAsia="Arial" w:hAnsi="Arial"/>
          <w:b/>
          <w:bCs/>
          <w:color w:val="1A1A1A"/>
          <w:sz w:val="21"/>
          <w:szCs w:val="21"/>
        </w:rPr>
        <w:t xml:space="preserve">Ablösesumme (netto): </w:t>
      </w:r>
      <w:r>
        <w:rPr>
          <w:rFonts w:ascii="Arial" w:cs="Arial" w:eastAsia="Arial" w:hAnsi="Arial"/>
          <w:color w:val="1A1A1A"/>
          <w:sz w:val="21"/>
          <w:szCs w:val="21"/>
        </w:rPr>
        <w:t xml:space="preserve">____ EUR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16.  </w:t>
      </w:r>
      <w:r>
        <w:rPr>
          <w:rFonts w:ascii="Arial" w:cs="Arial" w:eastAsia="Arial" w:hAnsi="Arial"/>
          <w:b/>
          <w:bCs/>
          <w:i w:val="false"/>
          <w:iCs w:val="false"/>
          <w:color w:val="0B0B0F"/>
          <w:sz w:val="24"/>
          <w:szCs w:val="24"/>
        </w:rPr>
        <w:t xml:space="preserve">Schlussbestätigung</w:t>
      </w:r>
    </w:p>
    <w:p>
      <w:pPr>
        <w:spacing w:after="120" w:line="276"/>
        <w:jc w:val="both"/>
      </w:pPr>
      <w:r>
        <w:rPr>
          <w:rFonts w:ascii="Arial" w:cs="Arial" w:eastAsia="Arial" w:hAnsi="Arial"/>
          <w:b w:val="false"/>
          <w:bCs w:val="false"/>
          <w:i w:val="false"/>
          <w:iCs w:val="false"/>
          <w:color w:val="1A1A1A"/>
          <w:sz w:val="21"/>
          <w:szCs w:val="21"/>
        </w:rPr>
        <w:t xml:space="preserve">Die Parteien bestätigen die Richtigkeit der vorstehenden Angaben. Dieser Leistungsschein wird mit beidseitiger Unterzeichnung wirksam und ist Bestandteil des Rahmenvertrags.</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Leistungsschein ist ein sorgfältig erstellter Entwurf und sollte für den konkreten Einzelfall anwaltlich geprüft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bereit und betreibt diese.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Website-Erstellung (Ziffer 9)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Es gilt Dienstvertragsrecht; die Verfügbarkeit richtet sich nach Anlage C (SLA).</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9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und/oder tätigt ausgehende Anrufe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sowie – bei entsprechender Beauftragung – Tätigung ausgehender Anrufe im Rahmen zulässiger Kampagnen (vgl. Ziffer 6 und die dortigen Compliance-Hinweise)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 eingehend wie ausgehend – erfolgt die verpflichtende KI-Ansage nach Ziffer 11. Aufzeichnung und Transkription sind standardmäßig deaktiviert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Social-Media-Agent</w:t>
      </w:r>
    </w:p>
    <w:p>
      <w:pPr>
        <w:spacing w:after="120" w:line="276"/>
        <w:jc w:val="both"/>
      </w:pPr>
      <w:r>
        <w:rPr>
          <w:rFonts w:ascii="Arial" w:cs="Arial" w:eastAsia="Arial" w:hAnsi="Arial"/>
          <w:b w:val="false"/>
          <w:bCs w:val="false"/>
          <w:i w:val="false"/>
          <w:iCs w:val="false"/>
          <w:color w:val="1A1A1A"/>
          <w:sz w:val="21"/>
          <w:szCs w:val="21"/>
        </w:rPr>
        <w:t xml:space="preserve">Der Social-Media-Agent unterstützt den Kunden bei der Betreuung seiner Social-Media-Kanäle im Rahmen der beauftragten Plattformen und der vom Kunden erteilten Freigaben.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Bearbeitung eingehender Direktnachrichten und Kommentare auf den vereinbarten Plattformen im Rahmen der konfigurierten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Erkennen von Interessenten und kaufbezogenen Anliegen sowie deren Übergabe zur weiteren Bearbeitung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und inhaltliche Vorbereitung von Beiträgen (Entwürfe) zur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Unterstützung im Community-Management (z. B. Standardantworten, Moderationshinweise) im Rahmen der vereinbarten Vorgaben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Strukturierte Übergabe qualifizierter Kontakte an das vom Kunden benannte Zielsystem</w:t>
      </w:r>
    </w:p>
    <w:p>
      <w:pPr>
        <w:spacing w:after="140" w:before="80"/>
      </w:pPr>
      <w:r>
        <w:rPr>
          <w:rFonts w:ascii="Arial" w:cs="Arial" w:eastAsia="Arial" w:hAnsi="Arial"/>
          <w:b w:val="false"/>
          <w:bCs w:val="false"/>
          <w:i/>
          <w:iCs/>
          <w:color w:val="6B7280"/>
          <w:sz w:val="18"/>
          <w:szCs w:val="18"/>
        </w:rPr>
        <w:t xml:space="preserve">Die redaktionelle Endverantwortung, die Veröffentlichungsfreigabe sowie die Einhaltung der jeweiligen Plattform-Nutzungsbedingungen verbleiben beim Kunden. Die inhaltliche Redaktion und Content-Strategie sind nicht geschuldet, soweit nicht ausdrücklich vereinbart (Ziffer 14).</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Vertriebs-/Akquise-Agent</w:t>
      </w:r>
    </w:p>
    <w:p>
      <w:pPr>
        <w:spacing w:after="120" w:line="276"/>
        <w:jc w:val="both"/>
      </w:pPr>
      <w:r>
        <w:rPr>
          <w:rFonts w:ascii="Arial" w:cs="Arial" w:eastAsia="Arial" w:hAnsi="Arial"/>
          <w:b w:val="false"/>
          <w:bCs w:val="false"/>
          <w:i w:val="false"/>
          <w:iCs w:val="false"/>
          <w:color w:val="1A1A1A"/>
          <w:sz w:val="21"/>
          <w:szCs w:val="21"/>
        </w:rPr>
        <w:t xml:space="preserve">Der Vertriebs-/Akquise-Agent unterstützt den Kunden bei der Anbahnung von Geschäftskontakten im B2B-Bereich.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Identifikation potenziell passender Unternehmen anhand der mit dem Kunden vereinbarten Zielkriterien (Branche, Größe, Region u. a.)</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öffentlich zugänglicher Informationen zu Unternehmen und geeigneten Ansprechpartnern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Bewertung der Passung (Fit-Scoring) anhand vereinbarter Kriterien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personalisierter Ansprache-Entwürfe (E-Mails, Gesprächsleitfäden) zur Verwendung durch den Kunden bzw. – bei entsprechender Beauftragung – zum automatisierten Versand im Namen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Aufbereitung und Übergabe der Rechercheergebnisse an das vom Kunden benannte Zielsystem</w:t>
      </w:r>
    </w:p>
    <w:p>
      <w:pPr>
        <w:pStyle w:val="Heading2"/>
        <w:keepNext/>
        <w:spacing w:after="80" w:before="160"/>
      </w:pPr>
      <w:r>
        <w:rPr>
          <w:rFonts w:ascii="Arial" w:cs="Arial" w:eastAsia="Arial" w:hAnsi="Arial"/>
          <w:b/>
          <w:bCs/>
          <w:i w:val="false"/>
          <w:iCs w:val="false"/>
          <w:color w:val="0B0B0F"/>
          <w:sz w:val="21"/>
          <w:szCs w:val="21"/>
        </w:rPr>
        <w:t xml:space="preserve">Compliance-Hinweise zur Akquise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Ausgehende Werbeansprache erfolgt ausschließlich im rechtlich zulässigen Rahmen. Für </w:t>
      </w:r>
      <w:r>
        <w:rPr>
          <w:rFonts w:ascii="Arial" w:cs="Arial" w:eastAsia="Arial" w:hAnsi="Arial"/>
          <w:b/>
          <w:bCs/>
          <w:i w:val="false"/>
          <w:iCs w:val="false"/>
          <w:color w:val="1A1A1A"/>
          <w:sz w:val="21"/>
          <w:szCs w:val="21"/>
        </w:rPr>
        <w:t xml:space="preserve">E-Mail-Werbung</w:t>
      </w:r>
      <w:r>
        <w:rPr>
          <w:rFonts w:ascii="Arial" w:cs="Arial" w:eastAsia="Arial" w:hAnsi="Arial"/>
          <w:b w:val="false"/>
          <w:bCs w:val="false"/>
          <w:i w:val="false"/>
          <w:iCs w:val="false"/>
          <w:color w:val="1A1A1A"/>
          <w:sz w:val="21"/>
          <w:szCs w:val="21"/>
        </w:rPr>
        <w:t xml:space="preserve"> ohne vorherige ausdrückliche Einwilligung ist § 7 UWG zu beachten; eine Ansprache kommt danach nur unter den engen Voraussetzungen einer mutmaßlichen Einwilligung bzw. der Ausnahme für Bestandskunden in Betracht. </w:t>
      </w:r>
      <w:r>
        <w:rPr>
          <w:rFonts w:ascii="Arial" w:cs="Arial" w:eastAsia="Arial" w:hAnsi="Arial"/>
          <w:b/>
          <w:bCs/>
          <w:i w:val="false"/>
          <w:iCs w:val="false"/>
          <w:color w:val="1A1A1A"/>
          <w:sz w:val="21"/>
          <w:szCs w:val="21"/>
        </w:rPr>
        <w:t xml:space="preserve">Telefonwerbung</w:t>
      </w:r>
      <w:r>
        <w:rPr>
          <w:rFonts w:ascii="Arial" w:cs="Arial" w:eastAsia="Arial" w:hAnsi="Arial"/>
          <w:b w:val="false"/>
          <w:bCs w:val="false"/>
          <w:i w:val="false"/>
          <w:iCs w:val="false"/>
          <w:color w:val="1A1A1A"/>
          <w:sz w:val="21"/>
          <w:szCs w:val="21"/>
        </w:rPr>
        <w:t xml:space="preserve"> gegenüber sonstigen Marktteilnehmern setzt zumindest deren mutmaßliche Einwilligung voraus.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Recherchiert NexAI Kontaktdaten selbst aus Drittquellen, erfüllt NexAI – soweit NexAI die Ansprache im Auftrag des Kunden durchführt – die Informationspflicht nach </w:t>
      </w:r>
      <w:r>
        <w:rPr>
          <w:rFonts w:ascii="Arial" w:cs="Arial" w:eastAsia="Arial" w:hAnsi="Arial"/>
          <w:b/>
          <w:bCs/>
          <w:i w:val="false"/>
          <w:iCs w:val="false"/>
          <w:color w:val="1A1A1A"/>
          <w:sz w:val="21"/>
          <w:szCs w:val="21"/>
        </w:rPr>
        <w:t xml:space="preserve">Art. 14 DSGVO</w:t>
      </w:r>
      <w:r>
        <w:rPr>
          <w:rFonts w:ascii="Arial" w:cs="Arial" w:eastAsia="Arial" w:hAnsi="Arial"/>
          <w:b w:val="false"/>
          <w:bCs w:val="false"/>
          <w:i w:val="false"/>
          <w:iCs w:val="false"/>
          <w:color w:val="1A1A1A"/>
          <w:sz w:val="21"/>
          <w:szCs w:val="21"/>
        </w:rPr>
        <w:t xml:space="preserve"> gegenüber den betroffenen Personen und dokumentiert die zulässige Herkunft der Daten.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Jede Ansprache enthält eine unmittelbare und einfache </w:t>
      </w:r>
      <w:r>
        <w:rPr>
          <w:rFonts w:ascii="Arial" w:cs="Arial" w:eastAsia="Arial" w:hAnsi="Arial"/>
          <w:b/>
          <w:bCs/>
          <w:i w:val="false"/>
          <w:iCs w:val="false"/>
          <w:color w:val="1A1A1A"/>
          <w:sz w:val="21"/>
          <w:szCs w:val="21"/>
        </w:rPr>
        <w:t xml:space="preserve">Widerspruchs-/Opt-out-Möglichkeit</w:t>
      </w:r>
      <w:r>
        <w:rPr>
          <w:rFonts w:ascii="Arial" w:cs="Arial" w:eastAsia="Arial" w:hAnsi="Arial"/>
          <w:b w:val="false"/>
          <w:bCs w:val="false"/>
          <w:i w:val="false"/>
          <w:iCs w:val="false"/>
          <w:color w:val="1A1A1A"/>
          <w:sz w:val="21"/>
          <w:szCs w:val="21"/>
        </w:rPr>
        <w:t xml:space="preserve">. Widersprüche werden dokumentiert und beachtet; angesprochene Kontakte werden bei Widerspruch für weitere Kampagnen gesperrt.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berechtigt, die Durchführung von Kampagnen abzulehnen, auszusetzen oder zu beenden, die nach vertretbarer Einschätzung von NexAI gegen geltendes Recht (insbesondere UWG oder DSGVO) verstoßen würden. Die weitergehenden Zusicherungen und Mitwirkungspflichten des Kunden – insbesondere zur Zulässigkeit der Zielkriterien und der Ansprache – ergeben sich aus dem Rahmenvertrag und den AGB (B2B).</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Website-Erstellung (Projektleistung)</w:t>
      </w:r>
    </w:p>
    <w:p>
      <w:pPr>
        <w:spacing w:after="120" w:line="276"/>
        <w:jc w:val="both"/>
      </w:pPr>
      <w:r>
        <w:rPr>
          <w:rFonts w:ascii="Arial" w:cs="Arial" w:eastAsia="Arial" w:hAnsi="Arial"/>
          <w:b w:val="false"/>
          <w:bCs w:val="false"/>
          <w:i w:val="false"/>
          <w:iCs w:val="false"/>
          <w:color w:val="1A1A1A"/>
          <w:sz w:val="21"/>
          <w:szCs w:val="21"/>
        </w:rPr>
        <w:t xml:space="preserve">Die Website-Erstellung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Konzeption und Umsetzung einer modernen, responsiven und performanten Website nach den im Auftragsformular festgelegten Vorgaben (Seitenumfang, Struktur,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Umsetzung technischer SEO-Grundlagen (u. a. saubere Seitenstruktur, Meta-Angaben, Ladezeitoptimierung, mobile Optimierung)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Landingpages im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der beauftragten Agenten (z. B. Voice- oder Chat-Agent) an die Website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Übergabe/Bereitstellung der fertiggestellten Website nach Maßgabe des Auftragsformulars</w:t>
      </w:r>
    </w:p>
    <w:p>
      <w:pPr>
        <w:spacing w:after="140" w:before="80"/>
      </w:pPr>
      <w:r>
        <w:rPr>
          <w:rFonts w:ascii="Arial" w:cs="Arial" w:eastAsia="Arial" w:hAnsi="Arial"/>
          <w:b w:val="false"/>
          <w:bCs w:val="false"/>
          <w:i/>
          <w:iCs/>
          <w:color w:val="6B7280"/>
          <w:sz w:val="18"/>
          <w:szCs w:val="18"/>
        </w:rPr>
        <w:t xml:space="preserve">Die Abnahme erfolgt nach Anlage D (Abnahmeprotokoll). Inhalte (Texte, Bilder, Logos), die Rechte an Dritt-Inhalten sowie erforderliche Zugänge stellt der Kunde bereit, soweit nicht ausdrücklich anders vereinbart. Laufende SEO-Betreuung, redaktionelle Pflege und das Hosting fremder Systeme sind nicht geschuldet (Ziffer 14).</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Für die Ersteinrichtung wird </w:t>
      </w:r>
      <w:r>
        <w:rPr>
          <w:rFonts w:ascii="Arial" w:cs="Arial" w:eastAsia="Arial" w:hAnsi="Arial"/>
          <w:b/>
          <w:bCs/>
          <w:i w:val="false"/>
          <w:iCs w:val="false"/>
          <w:color w:val="1A1A1A"/>
          <w:sz w:val="21"/>
          <w:szCs w:val="21"/>
        </w:rPr>
        <w:t xml:space="preserve">keine gesonderte Einrichtungs- oder Setup-Gebühr</w:t>
      </w:r>
      <w:r>
        <w:rPr>
          <w:rFonts w:ascii="Arial" w:cs="Arial" w:eastAsia="Arial" w:hAnsi="Arial"/>
          <w:b w:val="false"/>
          <w:bCs w:val="false"/>
          <w:i w:val="false"/>
          <w:iCs w:val="false"/>
          <w:color w:val="1A1A1A"/>
          <w:sz w:val="21"/>
          <w:szCs w:val="21"/>
        </w:rPr>
        <w:t xml:space="preserve"> erhoben; sie ist mit dem vereinbarten monatlichen oder jährlichen Beitrag abgegolten, soweit im Auftragsformular nicht ausdrücklich anders bestimmt.</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und beim </w:t>
      </w:r>
      <w:r>
        <w:rPr>
          <w:rFonts w:ascii="Arial" w:cs="Arial" w:eastAsia="Arial" w:hAnsi="Arial"/>
          <w:b/>
          <w:bCs/>
          <w:i w:val="false"/>
          <w:iCs w:val="false"/>
          <w:color w:val="1A1A1A"/>
          <w:sz w:val="21"/>
          <w:szCs w:val="21"/>
        </w:rPr>
        <w:t xml:space="preserve">Social-Media-Agent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Eine Aktivierung erfolgt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Aufzeichnung/Transkription aktiviert, erfolgt stets der Aufzeichnungshinweis nach Ziffer 11 Absatz (3). Die Aufbewahrung der Aufzeichnungen und Transkripte beträgt </w:t>
      </w:r>
      <w:r>
        <w:rPr>
          <w:rFonts w:ascii="Arial" w:cs="Arial" w:eastAsia="Arial" w:hAnsi="Arial"/>
          <w:b/>
          <w:bCs/>
          <w:i w:val="false"/>
          <w:iCs w:val="false"/>
          <w:color w:val="1A1A1A"/>
          <w:sz w:val="21"/>
          <w:szCs w:val="21"/>
        </w:rPr>
        <w:t xml:space="preserve">sechs (6) Monate</w:t>
      </w:r>
      <w:r>
        <w:rPr>
          <w:rFonts w:ascii="Arial" w:cs="Arial" w:eastAsia="Arial" w:hAnsi="Arial"/>
          <w:b w:val="false"/>
          <w:bCs w:val="false"/>
          <w:i w:val="false"/>
          <w:iCs w:val="false"/>
          <w:color w:val="1A1A1A"/>
          <w:sz w:val="21"/>
          <w:szCs w:val="21"/>
        </w:rPr>
        <w:t xml:space="preserve"> ab Erstellung; danach werden sie gelöscht, soweit keine gesetzliche Aufbewahrungspflicht entgegensteht.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Transkripte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weiteren Regelungen zur Datenspeicherung – keine Speicherung, soweit technisch abschaltbar; Aufbewahrung von sechs Monaten, soweit nicht abschaltbar; führendes Kundensystem für Geschäftsdaten; 30-tägiger Export vor Löschung bei Vertragsende nebst Löschbestätigung – ergeben sich aus dem Rahmenvertrag und Anlage B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Laufende SEO-Betreuung und Suchmaschinen-Optimierung über die technischen SEO-Grundlagen der Website-Erstellung (Ziffer 9) hinaus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Redaktionelle Content-Erstellung und Social-Media-Redaktion (Redaktionsplan, Texterstellung, Bildredaktion) über die in Ziffer 5 beschriebene Vorbereitung hinaus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Es handelt sich um einen sorgfältig erstellten Entwurf, der für den konkreten Einzelfall anwaltlich geprüft werden sollte.</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August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Social-Media-Agent, Vertriebs-/Akquise-Agent, Automatisierungen, individuelle KI-Agenten – nachfolgend "Agenten") sowie zugehöriger Projekt- und Betriebsleistungen. Im Rahmen dieser Leistungen verarbeitet NexAI personenbezogene Daten im Auftrag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Für die abweichende oder ergänzende Rollenverteilung bei einzelnen Leistungsarten – insbesondere bei der Vertriebs-/Akquise-Leistung – gilt die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 a. Sprachdialog, Chatdialog, Terminvereinbarung, Weiterleitung, Automatisierungen, Kontaktaufnahme).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für den Kunden, insbesondere die Beantwortung von Anfragen von Endnutzern, die Vereinbarung und Verwaltung von Terminen, die Weiterleitung von Anliegen sowie – nach Maßgabe der jeweiligen Beauftragung – die Kontaktaufnahme mit vom Kunden bestimmten Zielgruppen.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interagieren, insbesondere Anrufer (Voice Agent), Chat-Kontakte (Chat Agent), über Social-Media-Kanäle kommunizierende Personen sowie im Rahmen der Vertriebs-/Akquise-Leistung angesprochene Kontakte;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mitgeteilt werden (z. B. genannte Kontaktpersonen).</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Transkripte und – nur bei ausdrücklich aktivierter Funktion – 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Der Kunde stellt durch geeignete Konfiguration und Weisung sicher, dass die Agenten nicht gezielt zur Erhebung solcher Daten eingesetzt werden. Werden derartige Daten durch Endnutzer unaufgefordert mitgeteilt, verarbeitet NexAI sie ausschließlich im Rahmen der dokumentierten Weisungen und der Löschroutinen dieses AVV.</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Satz 3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konfiguriert die eingesetzten Subunternehmer, soweit technisch möglich, so, dass eine Nutzung der übermittelten Daten zu Trainingszwecken ausgeschlossen ist und die Daten nicht oder nur für den kürzest möglichen, technisch vorgegebenen Zeitraum gespeichert werden (Zero-Retention- bzw. No-Training-Konfiguration).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Grundsatz der Nichtspeicherung:</w:t>
      </w:r>
      <w:r>
        <w:rPr>
          <w:rFonts w:ascii="Arial" w:cs="Arial" w:eastAsia="Arial" w:hAnsi="Arial"/>
          <w:b w:val="false"/>
          <w:bCs w:val="false"/>
          <w:i w:val="false"/>
          <w:iCs w:val="false"/>
          <w:color w:val="1A1A1A"/>
          <w:sz w:val="21"/>
          <w:szCs w:val="21"/>
        </w:rPr>
        <w:t xml:space="preserve"> Wo eine Speicherung technisch abschaltbar ist, wird sie deaktiviert; personenbezogene Daten werden dann nur flüchtig zur Durchführung der jeweiligen Interaktion verarbeitet.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Soweit eine Speicherung technisch erforderlich ist oder auf dokumentierter Weisung des Kunden erfolgt, werden die Daten </w:t>
      </w:r>
      <w:r>
        <w:rPr>
          <w:rFonts w:ascii="Arial" w:cs="Arial" w:eastAsia="Arial" w:hAnsi="Arial"/>
          <w:b/>
          <w:bCs/>
          <w:i w:val="false"/>
          <w:iCs w:val="false"/>
          <w:color w:val="1A1A1A"/>
          <w:sz w:val="21"/>
          <w:szCs w:val="21"/>
        </w:rPr>
        <w:t xml:space="preserve">spätestens sechs (6) Monate nach ihrer Erhebung</w:t>
      </w:r>
      <w:r>
        <w:rPr>
          <w:rFonts w:ascii="Arial" w:cs="Arial" w:eastAsia="Arial" w:hAnsi="Arial"/>
          <w:b w:val="false"/>
          <w:bCs w:val="false"/>
          <w:i w:val="false"/>
          <w:iCs w:val="false"/>
          <w:color w:val="1A1A1A"/>
          <w:sz w:val="21"/>
          <w:szCs w:val="21"/>
        </w:rPr>
        <w:t xml:space="preserve"> gelöscht, sofern nicht der Kunde eine abweichende (insbesondere kürzere) Frist weist oder eine Ausnahme nach Absatz 4 greift. Der Kunde als Verantwortlicher kann jederzeit eine frühere Löschung anweisen.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Von der Löschung ausgenommen sind Daten, deren weitere Aufbewahrung zur Erfüllung gesetzlicher Aufbewahrungspflichten oder zu Nachweiszwecken bis zum Ablauf der einschlägigen Verjährungsfristen erforderlich ist; solche Daten werden in ihrer Verarbeitung eingeschränkt (gesperrt) und nach Wegfall des Aufbewahrungsgrundes gelöscht.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Führendes System für Geschäfts- und Vorgangsdaten sind die Systeme des Kunden; NexAI hält Daten insoweit nur zur Leistungserbringung vor.</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beabsichtigte Änderungen in Bezug auf die Hinzuziehung oder Ersetzung von Unterauftragsverarbeitern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(Art. 28 Abs. 2 Satz 1 DSGVO).</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einer beabsichtigten Änderung binnen der Frist aus wichtigem, datenschutzbezogenem Grund in Textform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Erfolgt eine Verarbeitung durch einen Unterauftragsverarbeiter in einem Drittland, stellt NexAI sicher, dass die Anforderungen der Art. 44 ff. DSGVO eingehalten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Vorrangig stützt sich der Transfer auf einen </w:t>
      </w:r>
      <w:r>
        <w:rPr>
          <w:rFonts w:ascii="Arial" w:cs="Arial" w:eastAsia="Arial" w:hAnsi="Arial"/>
          <w:b/>
          <w:bCs/>
          <w:i w:val="false"/>
          <w:iCs w:val="false"/>
          <w:color w:val="1A1A1A"/>
          <w:sz w:val="21"/>
          <w:szCs w:val="21"/>
        </w:rPr>
        <w:t xml:space="preserve">Angemessenheitsbeschluss</w:t>
      </w:r>
      <w:r>
        <w:rPr>
          <w:rFonts w:ascii="Arial" w:cs="Arial" w:eastAsia="Arial" w:hAnsi="Arial"/>
          <w:b w:val="false"/>
          <w:bCs w:val="false"/>
          <w:i w:val="false"/>
          <w:iCs w:val="false"/>
          <w:color w:val="1A1A1A"/>
          <w:sz w:val="21"/>
          <w:szCs w:val="21"/>
        </w:rPr>
        <w:t xml:space="preserve"> der Europäischen Kommission, insbesondere das EU-U.S. Data Privacy Framework (DPF), sofern der jeweilige Empfänger zertifiziert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Hilfsweise – insbesondere wenn keine DPF-Zertifizierung vorliegt (bei den in Anhang 2 gekennzeichneten Empfängern, etwa Vapi, Soniox und OpenAI (USA), vorsorglich der SCC-Weg) – werden die </w:t>
      </w:r>
      <w:r>
        <w:rPr>
          <w:rFonts w:ascii="Arial" w:cs="Arial" w:eastAsia="Arial" w:hAnsi="Arial"/>
          <w:b/>
          <w:bCs/>
          <w:i w:val="false"/>
          <w:iCs w:val="false"/>
          <w:color w:val="1A1A1A"/>
          <w:sz w:val="21"/>
          <w:szCs w:val="21"/>
        </w:rPr>
        <w:t xml:space="preserve">EU-Standardvertragsklauseln</w:t>
      </w:r>
      <w:r>
        <w:rPr>
          <w:rFonts w:ascii="Arial" w:cs="Arial" w:eastAsia="Arial" w:hAnsi="Arial"/>
          <w:b w:val="false"/>
          <w:bCs w:val="false"/>
          <w:i w:val="false"/>
          <w:iCs w:val="false"/>
          <w:color w:val="1A1A1A"/>
          <w:sz w:val="21"/>
          <w:szCs w:val="21"/>
        </w:rPr>
        <w:t xml:space="preserve"> (Durchführungsbeschluss (EU) 2021/914), </w:t>
      </w:r>
      <w:r>
        <w:rPr>
          <w:rFonts w:ascii="Arial" w:cs="Arial" w:eastAsia="Arial" w:hAnsi="Arial"/>
          <w:b/>
          <w:bCs/>
          <w:i w:val="false"/>
          <w:iCs w:val="false"/>
          <w:color w:val="1A1A1A"/>
          <w:sz w:val="21"/>
          <w:szCs w:val="21"/>
        </w:rPr>
        <w:t xml:space="preserve">Modul 3 (Auftragsverarbeiter an Unterauftragsverarbeiter)</w:t>
      </w:r>
      <w:r>
        <w:rPr>
          <w:rFonts w:ascii="Arial" w:cs="Arial" w:eastAsia="Arial" w:hAnsi="Arial"/>
          <w:b w:val="false"/>
          <w:bCs w:val="false"/>
          <w:i w:val="false"/>
          <w:iCs w:val="false"/>
          <w:color w:val="1A1A1A"/>
          <w:sz w:val="21"/>
          <w:szCs w:val="21"/>
        </w:rPr>
        <w:t xml:space="preserve">, abgeschlossen, ergänzt um erforderliche </w:t>
      </w:r>
      <w:r>
        <w:rPr>
          <w:rFonts w:ascii="Arial" w:cs="Arial" w:eastAsia="Arial" w:hAnsi="Arial"/>
          <w:b/>
          <w:bCs/>
          <w:i w:val="false"/>
          <w:iCs w:val="false"/>
          <w:color w:val="1A1A1A"/>
          <w:sz w:val="21"/>
          <w:szCs w:val="21"/>
        </w:rPr>
        <w:t xml:space="preserve">Zusatzmaßnahmen</w:t>
      </w:r>
      <w:r>
        <w:rPr>
          <w:rFonts w:ascii="Arial" w:cs="Arial" w:eastAsia="Arial" w:hAnsi="Arial"/>
          <w:b w:val="false"/>
          <w:bCs w:val="false"/>
          <w:i w:val="false"/>
          <w:iCs w:val="false"/>
          <w:color w:val="1A1A1A"/>
          <w:sz w:val="21"/>
          <w:szCs w:val="21"/>
        </w:rPr>
        <w:t xml:space="preserve"> und eine </w:t>
      </w:r>
      <w:r>
        <w:rPr>
          <w:rFonts w:ascii="Arial" w:cs="Arial" w:eastAsia="Arial" w:hAnsi="Arial"/>
          <w:b/>
          <w:bCs/>
          <w:i w:val="false"/>
          <w:iCs w:val="false"/>
          <w:color w:val="1A1A1A"/>
          <w:sz w:val="21"/>
          <w:szCs w:val="21"/>
        </w:rPr>
        <w:t xml:space="preserve">Transfer-Folgenabschätzung (Transfer Impact Assessment, TIA)</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Abschluss der Erbringung der Verarbeitungsleistungen löscht NexAI nach Wahl des Kunden alle personenbezogenen Daten oder gibt sie zurück und löscht vorhandene Kopien, sofern nicht nach Unionsrecht oder mitgliedstaatlichem Recht eine Verpflichtung zur Speicherung besteht (Art. 28 Abs. 3 lit.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dem Kunden vor der Löschung für einen Zeitraum von </w:t>
      </w:r>
      <w:r>
        <w:rPr>
          <w:rFonts w:ascii="Arial" w:cs="Arial" w:eastAsia="Arial" w:hAnsi="Arial"/>
          <w:b/>
          <w:bCs/>
          <w:i w:val="false"/>
          <w:iCs w:val="false"/>
          <w:color w:val="1A1A1A"/>
          <w:sz w:val="21"/>
          <w:szCs w:val="21"/>
        </w:rPr>
        <w:t xml:space="preserve">dreißig (30) Tagen</w:t>
      </w:r>
      <w:r>
        <w:rPr>
          <w:rFonts w:ascii="Arial" w:cs="Arial" w:eastAsia="Arial" w:hAnsi="Arial"/>
          <w:b w:val="false"/>
          <w:bCs w:val="false"/>
          <w:i w:val="false"/>
          <w:iCs w:val="false"/>
          <w:color w:val="1A1A1A"/>
          <w:sz w:val="21"/>
          <w:szCs w:val="21"/>
        </w:rPr>
        <w:t xml:space="preserve"> die Möglichkeit zum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der Daten in einem gängigen, strukturierten Format bereit. Nach Ablauf dieser Frist bzw. nach erfolgtem Export werden die Daten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bestätigt die Löschung auf Verlangen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(Löschbestätigung).</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Unterliegen Daten gesetzlichen Aufbewahrungspflichten (insbesondere § 147 AO, § 257 HGB), werden diese nicht gelöscht, sondern in ihrer Verarbeitung </w:t>
      </w:r>
      <w:r>
        <w:rPr>
          <w:rFonts w:ascii="Arial" w:cs="Arial" w:eastAsia="Arial" w:hAnsi="Arial"/>
          <w:b/>
          <w:bCs/>
          <w:i w:val="false"/>
          <w:iCs w:val="false"/>
          <w:color w:val="1A1A1A"/>
          <w:sz w:val="21"/>
          <w:szCs w:val="21"/>
        </w:rPr>
        <w:t xml:space="preserve">eingeschränkt (gesperrt)</w:t>
      </w:r>
      <w:r>
        <w:rPr>
          <w:rFonts w:ascii="Arial" w:cs="Arial" w:eastAsia="Arial" w:hAnsi="Arial"/>
          <w:b w:val="false"/>
          <w:bCs w:val="false"/>
          <w:i w:val="false"/>
          <w:iCs w:val="false"/>
          <w:color w:val="1A1A1A"/>
          <w:sz w:val="21"/>
          <w:szCs w:val="21"/>
        </w:rPr>
        <w:t xml:space="preserve"> (Art. 18 DSGVO) und nach Ablauf der Aufbewahrungsfrist gelöscht.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benennt einen Datenschutzbeauftragten, sofern und soweit eine gesetzliche Benennungspflicht besteht. Kontaktstelle für Datenschutzangelegenheiten und für Weisungen nach § 4 Abs. 2 ist mbt@nex-a-i.com.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Agent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(Inbound)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Social-Media-Agent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Vertriebs-/Akquise-Agent – NexAI recherchiert Kontakte selbst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Auftragsverarbeitung; im Einzelfall gemeinsame Verantwortlichkeit (Art. 26) oder getrennte Verantwortlichkeit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bzw. Art. 26 DSGVO – Festlegung im Auftragsformular</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Vertriebs-/Akquise-Leistung, bei der NexAI Kontaktdaten teilweise selbst recherchiert, legen die Parteien die konkrete Rolle im Auftragsformular fest. Wird eine </w:t>
      </w:r>
      <w:r>
        <w:rPr>
          <w:rFonts w:ascii="Arial" w:cs="Arial" w:eastAsia="Arial" w:hAnsi="Arial"/>
          <w:b/>
          <w:bCs/>
          <w:i w:val="false"/>
          <w:iCs w:val="false"/>
          <w:color w:val="1A1A1A"/>
          <w:sz w:val="21"/>
          <w:szCs w:val="21"/>
        </w:rPr>
        <w:t xml:space="preserve">gemeinsame Verantwortlichkeit</w:t>
      </w:r>
      <w:r>
        <w:rPr>
          <w:rFonts w:ascii="Arial" w:cs="Arial" w:eastAsia="Arial" w:hAnsi="Arial"/>
          <w:b w:val="false"/>
          <w:bCs w:val="false"/>
          <w:i w:val="false"/>
          <w:iCs w:val="false"/>
          <w:color w:val="1A1A1A"/>
          <w:sz w:val="21"/>
          <w:szCs w:val="21"/>
        </w:rPr>
        <w:t xml:space="preserve"> begründet, schließen die Parteien eine gesonderte Vereinbarung nach Art. 26 DSGVO, die die jeweiligen Pflichten – insbesondere zur Information nach Art. 14 DSGVO und zur Wahrnehmung von Betroffenenrechten – festlegt.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unterhält für die selbst durchgeführte Kontaktrecherche eine eigene Compliance (nur zulässige B2B-Ansprache, Erfüllung der Informationspflichten nach Art. 14 DSGVO, Dokumentation von Widersprüchen/Opt-outs) und ist berechtigt, rechtswidrige Kampagnenvorgaben abzulehnen. Der Kunde sichert die Rechtmäßigkeit der von ihm vorgegebenen Zielgruppen und Ansprachen zu.</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und 2 (Unterauftragsverarbeiter)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pStyle w:val="Heading2"/>
        <w:keepNext/>
        <w:spacing w:after="80" w:before="160"/>
      </w:pPr>
      <w:r>
        <w:rPr>
          <w:rFonts w:ascii="Arial" w:cs="Arial" w:eastAsia="Arial" w:hAnsi="Arial"/>
          <w:b/>
          <w:bCs/>
          <w:i w:val="false"/>
          <w:iCs w:val="false"/>
          <w:color w:val="0B0B0F"/>
          <w:sz w:val="21"/>
          <w:szCs w:val="21"/>
        </w:rPr>
        <w:t xml:space="preserve">1. Mandantentrennung / Trennungskontrolle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Projekte, Workspaces und API-Keys je Kunde bei den eingesetzten Diensten;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Verarbeitung von Test-/Entwicklungs- und Produktivdaten.</w:t>
      </w:r>
    </w:p>
    <w:p>
      <w:pPr>
        <w:pStyle w:val="Heading2"/>
        <w:keepNext/>
        <w:spacing w:after="80" w:before="160"/>
      </w:pPr>
      <w:r>
        <w:rPr>
          <w:rFonts w:ascii="Arial" w:cs="Arial" w:eastAsia="Arial" w:hAnsi="Arial"/>
          <w:b/>
          <w:bCs/>
          <w:i w:val="false"/>
          <w:iCs w:val="false"/>
          <w:color w:val="0B0B0F"/>
          <w:sz w:val="21"/>
          <w:szCs w:val="21"/>
        </w:rPr>
        <w:t xml:space="preserve">2. Zugangs- und Zugriffskontrolle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Multi-Faktor-Authentifizierung (MFA) für administrative Zugänge;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Least-Privilege-Prinzip: rollenbasierte, auf das Erforderliche beschränkte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kein Produktivbetrieb über rein private Endnutzer-Accounts; Nutzung dedizierter Betriebs-Accounts;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Passwort-Richtlinien und sichere Verwahrung von Geheimnissen/Schlüsseln;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regelmäßige Überprüfung und Entzug nicht mehr benötigter Berechtigungen.</w:t>
      </w:r>
    </w:p>
    <w:p>
      <w:pPr>
        <w:pStyle w:val="Heading2"/>
        <w:keepNext/>
        <w:spacing w:after="80" w:before="160"/>
      </w:pPr>
      <w:r>
        <w:rPr>
          <w:rFonts w:ascii="Arial" w:cs="Arial" w:eastAsia="Arial" w:hAnsi="Arial"/>
          <w:b/>
          <w:bCs/>
          <w:i w:val="false"/>
          <w:iCs w:val="false"/>
          <w:color w:val="0B0B0F"/>
          <w:sz w:val="21"/>
          <w:szCs w:val="21"/>
        </w:rPr>
        <w:t xml:space="preserve">3. Verschlüsselung / Weitergabekontrolle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Transportverschlüsselung (TLS) bei der Übertragung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Verschlüsselung ruhender Daten, soweit von den eingesetzten Diensten unterstützt;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gesicherte Schnittstellen (authentifizierte APIs/Webhooks).</w:t>
      </w:r>
    </w:p>
    <w:p>
      <w:pPr>
        <w:pStyle w:val="Heading2"/>
        <w:keepNext/>
        <w:spacing w:after="80" w:before="160"/>
      </w:pPr>
      <w:r>
        <w:rPr>
          <w:rFonts w:ascii="Arial" w:cs="Arial" w:eastAsia="Arial" w:hAnsi="Arial"/>
          <w:b/>
          <w:bCs/>
          <w:i w:val="false"/>
          <w:iCs w:val="false"/>
          <w:color w:val="0B0B0F"/>
          <w:sz w:val="21"/>
          <w:szCs w:val="21"/>
        </w:rPr>
        <w:t xml:space="preserve">4. Eingabe- und Protokollierungskontrolle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Zugriffs- und Aktivitätsprotokollierung in den administrativen Systemen;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Nachvollziehbarkeit wesentlicher Konfigurations- und Verarbeitungsvorgänge.</w:t>
      </w:r>
    </w:p>
    <w:p>
      <w:pPr>
        <w:pStyle w:val="Heading2"/>
        <w:keepNext/>
        <w:spacing w:after="80" w:before="160"/>
      </w:pPr>
      <w:r>
        <w:rPr>
          <w:rFonts w:ascii="Arial" w:cs="Arial" w:eastAsia="Arial" w:hAnsi="Arial"/>
          <w:b/>
          <w:bCs/>
          <w:i w:val="false"/>
          <w:iCs w:val="false"/>
          <w:color w:val="0B0B0F"/>
          <w:sz w:val="21"/>
          <w:szCs w:val="21"/>
        </w:rPr>
        <w:t xml:space="preserve">5. Verfügbarkeit und Belastbarkeit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Nutzung etablierter, ausfallsicherer Cloud-Infrastruktur der Subunternehmer;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Maßnahmen zur Wiederherstellbarkeit im Rahmen der Möglichkeiten der genutzten Dienste.</w:t>
      </w:r>
    </w:p>
    <w:p>
      <w:pPr>
        <w:pStyle w:val="Heading2"/>
        <w:keepNext/>
        <w:spacing w:after="80" w:before="160"/>
      </w:pPr>
      <w:r>
        <w:rPr>
          <w:rFonts w:ascii="Arial" w:cs="Arial" w:eastAsia="Arial" w:hAnsi="Arial"/>
          <w:b/>
          <w:bCs/>
          <w:i w:val="false"/>
          <w:iCs w:val="false"/>
          <w:color w:val="0B0B0F"/>
          <w:sz w:val="21"/>
          <w:szCs w:val="21"/>
        </w:rPr>
        <w:t xml:space="preserve">6. Datenminimierung und Löschung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Deaktivierung der Speicherung, wo technisch möglich (Grundsatz der Nichtspeicherung);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standardmäßig deaktivierte Aufzeichnung/Transkription;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Löschroutinen (Löschung spätestens sechs Monate nach Erhebung, soweit keine Ausnahme greift);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Zero-Retention-/No-Training-Konfiguration der Subunternehmer, soweit technisch verfügbar.</w:t>
      </w:r>
    </w:p>
    <w:p>
      <w:pPr>
        <w:pStyle w:val="Heading2"/>
        <w:keepNext/>
        <w:spacing w:after="80" w:before="160"/>
      </w:pPr>
      <w:r>
        <w:rPr>
          <w:rFonts w:ascii="Arial" w:cs="Arial" w:eastAsia="Arial" w:hAnsi="Arial"/>
          <w:b/>
          <w:bCs/>
          <w:i w:val="false"/>
          <w:iCs w:val="false"/>
          <w:color w:val="0B0B0F"/>
          <w:sz w:val="21"/>
          <w:szCs w:val="21"/>
        </w:rPr>
        <w:t xml:space="preserve">7. Auftragskontrolle und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Voice-Agent-Plattform (Sprachdialog, Telefonie-Orchestrierung, Sprachsynthese)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Soniox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(Speech-to-Text); als Unterauftragsverarbeiter von Vapi eingesetzt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Transkripte,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(über Vapi-DPA)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Ltd. / OpenAI,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 KI-Verarbeitung (Textverstehen, Antwortgenerierung)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 No-Training-Konfiguration</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LLC / Google Ireland Ltd.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Kalender-, Sheets-, Gmail-/Workspace-Dienste (Terminverwaltung, Bestätigungen, Lead-Ablage)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hilfsweise EU-SCC Modul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easybell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Telefonie-Anbindung (SIP-Trunk)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Rufnummern, Verbindungs-/Metadaten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Hosting/Betrieb der von NexAI selbst betriebenen Automatisierungs- und Speicherinstanz (n8n)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Agent: Kontakt-, Vorgangs-, Termin-, Protokolldaten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Bei Diensten mit EU-Niederlassung wird die Verarbeitung vorrangig über die EU-Entität abgewickelt.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und 2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AVV ist ein sorgfältig erstellter Entwurf. Er ersetzt keine Rechtsberatung und sollte vor Verwendung im Einzelfall anwaltlich geprüft und an die konkrete Verarbeitungssituation angepasst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C – Service Level Agreement (SLA)</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Support- und Servicebedingungen für den laufenden Betrieb der Agenten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Diese Anlage C (Service Level Agreement, nachfolgend "SLA") regelt die Support- und Servicebedingungen für die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gegenüber dem im Auftragsformular bezeichneten Kunden (nachfolgend "Kunde") erbrachten Betriebsleistungen, insbesondere Betrieb, Wartung, Hosting und Support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C ist Bestandteil der Vertragsdokumente und ergänzt den Rahmenvertrag. Sie gilt für die Dauer des jeweiligen Betriebsverhältnisses und ausschließlich für Betriebsleistungen im Sinne des Dienstvertragsrechts; für Projektleistungen (einmalige Werkleistungen) gilt sie nicht.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Widersprüchen zwischen dieser Anlage C und dem Rahmenvertrag gehen die Regelungen des Rahmenvertrags vor, soweit dort nicht ausdrücklich auf diese Anlage verwiesen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in dieser Anlage genannten Support- und Reaktionszeiten setzen ein bestehendes, nicht gekündigtes und nicht (durch Zahlungsverzug oder aus anderem Grund berechtigt) ausgesetztes Vertragsverhältnis sowie die vollständige Erfüllung der fälligen Zahlungspflichten des Kunden voraus.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den Vertragsdokumenten (insbesondere Rahmenvertrag, Anlage A und Anlage B (AVV)) definierten Begriffe gelten in dieser Anlage einheitlich fort.</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Servicezeiten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regulären </w:t>
      </w:r>
      <w:r>
        <w:rPr>
          <w:rFonts w:ascii="Arial" w:cs="Arial" w:eastAsia="Arial" w:hAnsi="Arial"/>
          <w:b/>
          <w:bCs/>
          <w:i w:val="false"/>
          <w:iCs w:val="false"/>
          <w:color w:val="1A1A1A"/>
          <w:sz w:val="21"/>
          <w:szCs w:val="21"/>
        </w:rPr>
        <w:t xml:space="preserve">Servicezeiten</w:t>
      </w:r>
      <w:r>
        <w:rPr>
          <w:rFonts w:ascii="Arial" w:cs="Arial" w:eastAsia="Arial" w:hAnsi="Arial"/>
          <w:b w:val="false"/>
          <w:bCs w:val="false"/>
          <w:i w:val="false"/>
          <w:iCs w:val="false"/>
          <w:color w:val="1A1A1A"/>
          <w:sz w:val="21"/>
          <w:szCs w:val="21"/>
        </w:rPr>
        <w:t xml:space="preserve"> von NexAI sind Montag bis Freitag von </w:t>
      </w:r>
      <w:r>
        <w:rPr>
          <w:rFonts w:ascii="Arial" w:cs="Arial" w:eastAsia="Arial" w:hAnsi="Arial"/>
          <w:b/>
          <w:bCs/>
          <w:i w:val="false"/>
          <w:iCs w:val="false"/>
          <w:color w:val="1A1A1A"/>
          <w:sz w:val="21"/>
          <w:szCs w:val="21"/>
        </w:rPr>
        <w:t xml:space="preserve">08:00 bis 17:00 Uhr</w:t>
      </w:r>
      <w:r>
        <w:rPr>
          <w:rFonts w:ascii="Arial" w:cs="Arial" w:eastAsia="Arial" w:hAnsi="Arial"/>
          <w:b w:val="false"/>
          <w:bCs w:val="false"/>
          <w:i w:val="false"/>
          <w:iCs w:val="false"/>
          <w:color w:val="1A1A1A"/>
          <w:sz w:val="21"/>
          <w:szCs w:val="21"/>
        </w:rPr>
        <w:t xml:space="preserve"> (gesetzliche Zeit in Deutschland, MEZ/MESZ), ausgenommen die gesetzlichen Feiertage am Sitz von NexAI im Bundesland </w:t>
      </w:r>
      <w:r>
        <w:rPr>
          <w:rFonts w:ascii="Arial" w:cs="Arial" w:eastAsia="Arial" w:hAnsi="Arial"/>
          <w:b/>
          <w:bCs/>
          <w:i w:val="false"/>
          <w:iCs w:val="false"/>
          <w:color w:val="1A1A1A"/>
          <w:sz w:val="21"/>
          <w:szCs w:val="21"/>
        </w:rPr>
        <w:t xml:space="preserve">Baden-Württemberg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Als </w:t>
      </w:r>
      <w:r>
        <w:rPr>
          <w:rFonts w:ascii="Arial" w:cs="Arial" w:eastAsia="Arial" w:hAnsi="Arial"/>
          <w:b/>
          <w:bCs/>
          <w:i w:val="false"/>
          <w:iCs w:val="false"/>
          <w:color w:val="1A1A1A"/>
          <w:sz w:val="21"/>
          <w:szCs w:val="21"/>
        </w:rPr>
        <w:t xml:space="preserve">Werktage</w:t>
      </w:r>
      <w:r>
        <w:rPr>
          <w:rFonts w:ascii="Arial" w:cs="Arial" w:eastAsia="Arial" w:hAnsi="Arial"/>
          <w:b w:val="false"/>
          <w:bCs w:val="false"/>
          <w:i w:val="false"/>
          <w:iCs w:val="false"/>
          <w:color w:val="1A1A1A"/>
          <w:sz w:val="21"/>
          <w:szCs w:val="21"/>
        </w:rPr>
        <w:t xml:space="preserve"> im Sinne dieser Anlage gelten Montag bis Freitag mit Ausnahme der vorgenannten gesetzlichen Feiertage.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Supportanfragen, die außerhalb der Servicezeiten eingehen, gelten als am nächsten Werktag zu Beginn der Servicezeiten (08:00 Uhr) eingegangen. Die in Abschnitt 4 genannten Reaktionszeiten beginnen erst mit diesem Zeitpunkt zu laufen und werden ausschließlich innerhalb der Servicezeiten berechnet.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nicht zu einer über die Servicezeiten hinausgehenden Erreichbarkeit, Rufbereitschaft oder Überwachung verpflichtet. Ein 24/7-Support oder eine 24/7-Überwachung wird nicht geschuldet.</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wird über die nachfolgenden Kanäle erbracht. NexAI ist berechtigt, den für die jeweilige Anfrage geeigneten Kanal zu bestimmen: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E-Mail</w:t>
      </w:r>
      <w:r>
        <w:rPr>
          <w:rFonts w:ascii="Arial" w:cs="Arial" w:eastAsia="Arial" w:hAnsi="Arial"/>
          <w:b w:val="false"/>
          <w:bCs w:val="false"/>
          <w:i w:val="false"/>
          <w:iCs w:val="false"/>
          <w:color w:val="1A1A1A"/>
          <w:sz w:val="21"/>
          <w:szCs w:val="21"/>
        </w:rPr>
        <w:t xml:space="preserve"> an mbt@nex-a-i.com (bevorzugter Kanal für die Meldung und Dokumentation von Störungen);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Telefon</w:t>
      </w:r>
      <w:r>
        <w:rPr>
          <w:rFonts w:ascii="Arial" w:cs="Arial" w:eastAsia="Arial" w:hAnsi="Arial"/>
          <w:b w:val="false"/>
          <w:bCs w:val="false"/>
          <w:i w:val="false"/>
          <w:iCs w:val="false"/>
          <w:color w:val="1A1A1A"/>
          <w:sz w:val="21"/>
          <w:szCs w:val="21"/>
        </w:rPr>
        <w:t xml:space="preserve"> unter 0176 80714816 innerhalb der Servicezeiten;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Videokonferenz</w:t>
      </w:r>
      <w:r>
        <w:rPr>
          <w:rFonts w:ascii="Arial" w:cs="Arial" w:eastAsia="Arial" w:hAnsi="Arial"/>
          <w:b w:val="false"/>
          <w:bCs w:val="false"/>
          <w:i w:val="false"/>
          <w:iCs w:val="false"/>
          <w:color w:val="1A1A1A"/>
          <w:sz w:val="21"/>
          <w:szCs w:val="21"/>
        </w:rPr>
        <w:t xml:space="preserve"> nach vorheriger Terminvereinbarung;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Fernwartung</w:t>
      </w:r>
      <w:r>
        <w:rPr>
          <w:rFonts w:ascii="Arial" w:cs="Arial" w:eastAsia="Arial" w:hAnsi="Arial"/>
          <w:b w:val="false"/>
          <w:bCs w:val="false"/>
          <w:i w:val="false"/>
          <w:iCs w:val="false"/>
          <w:color w:val="1A1A1A"/>
          <w:sz w:val="21"/>
          <w:szCs w:val="21"/>
        </w:rPr>
        <w:t xml:space="preserve"> (Remote-Zugriff) nach vorheriger Abstimmung und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sofern von NexAI bereitgestellt: ein </w:t>
      </w:r>
      <w:r>
        <w:rPr>
          <w:rFonts w:ascii="Arial" w:cs="Arial" w:eastAsia="Arial" w:hAnsi="Arial"/>
          <w:b/>
          <w:bCs/>
          <w:i w:val="false"/>
          <w:iCs w:val="false"/>
          <w:color w:val="1A1A1A"/>
          <w:sz w:val="21"/>
          <w:szCs w:val="21"/>
        </w:rPr>
        <w:t xml:space="preserve">Ticketsystem</w:t>
      </w:r>
      <w:r>
        <w:rPr>
          <w:rFonts w:ascii="Arial" w:cs="Arial" w:eastAsia="Arial" w:hAnsi="Arial"/>
          <w:b w:val="false"/>
          <w:bCs w:val="false"/>
          <w:i w:val="false"/>
          <w:iCs w:val="false"/>
          <w:color w:val="1A1A1A"/>
          <w:sz w:val="21"/>
          <w:szCs w:val="21"/>
        </w:rPr>
        <w:t xml:space="preserve"> zur strukturierten Erfassung und Nachverfolgung von Anfragen.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die Fristberechnung ist der Eingang der Anfrage über den jeweils von NexAI benannten oder genutzten Supportkanal. NexAI kann verlangen, dass Störungsmeldungen zur Nachvollziehbarkeit in Textform (insbesondere per E-Mail oder Ticketsystem) erfolgen.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NexAI mindestens einen fachkundigen Ansprechpartner, der zur Meldung und Bearbeitung von Supportanfragen berechtigt ist.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NexAI kategorisiert gemeldete Störungen nach den nachfolgenden Prioritätsstufen. Die Einordnung nimmt NexAI nach pflichtgemäßem Ermessen anhand der tatsächlichen Auswirkung auf den Betrieb und unter angemessener Berücksichtigung der Angaben des Kunden vor. Die genannten Zeiten sind </w:t>
      </w:r>
      <w:r>
        <w:rPr>
          <w:rFonts w:ascii="Arial" w:cs="Arial" w:eastAsia="Arial" w:hAnsi="Arial"/>
          <w:b/>
          <w:bCs/>
          <w:i w:val="false"/>
          <w:iCs w:val="false"/>
          <w:color w:val="1A1A1A"/>
          <w:sz w:val="21"/>
          <w:szCs w:val="21"/>
        </w:rPr>
        <w:t xml:space="preserve">Erstreaktionszeiten</w:t>
      </w:r>
      <w:r>
        <w:rPr>
          <w:rFonts w:ascii="Arial" w:cs="Arial" w:eastAsia="Arial" w:hAnsi="Arial"/>
          <w:b w:val="false"/>
          <w:bCs w:val="false"/>
          <w:i w:val="false"/>
          <w:iCs w:val="false"/>
          <w:color w:val="1A1A1A"/>
          <w:sz w:val="21"/>
          <w:szCs w:val="21"/>
        </w:rPr>
        <w:t xml:space="preserve"> und laufen ausschließlich innerhalb der Servicezeiten (Abschnitt 2).</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Priorität</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Definition</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Beispiele</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Erstreaktion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P1 – Kritisch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Totalausfall; ein Agent ist vollständig funktionsunfähig und es besteht keine nutzbare Ausweichmöglichkeit.</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nimmt keine Anrufe mehr entgegen; Chat Agent ist vollständig nicht erreichbar; kompletter Ausfall aller Agenten.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8 Stunden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P2 – Hoch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Ausfall oder erhebliche Störung einer wesentlichen Funktion; die Kernnutzung ist stark beeinträchtigt, ein eingeschränkter Betrieb bleibt aber möglich.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Terminbuchung schlägt systematisch fehl; wesentliche Integration (z. B. Kalender/CRM) liefert keine Daten; wiederkehrende Abbrüche im Gesprächsverlauf.</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1 Werktag</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P3 – Mittel</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Störung einer Teilfunktion; einzelne, nicht geschäftskritische Funktionen sind beeinträchtigt, der Gesamtbetrieb ist im Wesentlichen nutzbar.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Fehlerhafte Formulierung in einer Ansage; einzelne Automatisierungsschritte mit Verzögerung; kosmetische oder nicht kritische Fehler.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2 Werktagen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P4 – Niedrig</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Allgemeine Anfrage, Auskunft oder Änderungswunsch ohne Störungscharakter.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Fragen zur Bedienung; Wunsch nach kleiner Anpassung; Auswertungs- oder Konfigurationsanfragen.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3 Werktagen</w:t>
            </w:r>
          </w:p>
        </w:tc>
      </w:tr>
    </w:tbl>
    <w:p>
      <w:pPr>
        <w:spacing w:after="120"/>
      </w:pPr>
      <w:r>
        <w:rPr>
          <w:sz w:val="2"/>
          <w:szCs w:val="2"/>
        </w:rPr>
        <w:t xml:space="preserve"/>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Erstreaktionszeit</w:t>
      </w:r>
      <w:r>
        <w:rPr>
          <w:rFonts w:ascii="Arial" w:cs="Arial" w:eastAsia="Arial" w:hAnsi="Arial"/>
          <w:b w:val="false"/>
          <w:bCs w:val="false"/>
          <w:i w:val="false"/>
          <w:iCs w:val="false"/>
          <w:color w:val="1A1A1A"/>
          <w:sz w:val="21"/>
          <w:szCs w:val="21"/>
        </w:rPr>
        <w:t xml:space="preserve"> bezeichnet den Zeitraum bis zur ersten inhaltlichen Rückmeldung von NexAI, mit der die Bearbeitung aufgenommen und das weitere Vorgehen mitgeteilt wird. Eine automatisierte Eingangsbestätigung stellt keine Erstreaktion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die Erstreaktion innerhalb der genannten Zeiten als Bemühensschuld. Eine bestimmte </w:t>
      </w:r>
      <w:r>
        <w:rPr>
          <w:rFonts w:ascii="Arial" w:cs="Arial" w:eastAsia="Arial" w:hAnsi="Arial"/>
          <w:b/>
          <w:bCs/>
          <w:i w:val="false"/>
          <w:iCs w:val="false"/>
          <w:color w:val="1A1A1A"/>
          <w:sz w:val="21"/>
          <w:szCs w:val="21"/>
        </w:rPr>
        <w:t xml:space="preserve">Wiederherstellungs-, Lösungs- oder Behebungszeit wird ausdrücklich nicht garantiert.</w:t>
      </w:r>
      <w:r>
        <w:rPr>
          <w:rFonts w:ascii="Arial" w:cs="Arial" w:eastAsia="Arial" w:hAnsi="Arial"/>
          <w:b w:val="false"/>
          <w:bCs w:val="false"/>
          <w:i w:val="false"/>
          <w:iCs w:val="false"/>
          <w:color w:val="1A1A1A"/>
          <w:sz w:val="21"/>
          <w:szCs w:val="21"/>
        </w:rPr>
        <w:t xml:space="preserve"> NexAI wird sich bemühen, gemeldete Störungen mit der nach den Umständen gebotenen Sorgfalt und in einer der Priorität angemessenen Weise zu bearbeiten und zu beheben.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Ursachen, die außerhalb des Einflussbereichs von NexAI liegen – insbesondere Störungen, Ausfälle, Wartungen oder Änderungen bei Subunternehmern und Drittdiensten (z. B. Vapi, Twilio, Make, OpenAI, ElevenLabs, Google, Hoster) sowie Ereignisse höherer Gewalt – hemmen den Lauf der Reaktionszeiten für die Dauer ihres Bestehens. NexAI wird den Kunden über solche Umstände, sobald erkannt, unterrichten.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Reaktionszeiten werden ferner gehemmt, solange NexAI auf die erforderliche Mitwirkung des Kunden (Abschnitt 10) wartet, insbesondere auf eine Fehlerbeschreibung, Rückfragenbeantwortung oder Bereitstellung von Zugängen.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Enthaltener und nicht enthaltener Support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laufenden Beitrag enthalten sind – im Rahmen der Servicezeiten und der vereinbarten Freikontingente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Entgegennahme, Kategorisierung und Bearbeitung von Störungsmeldungen zu den beauftragten Agenten;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Analyse und, im Rahmen der Bemühensschuld, die Behebung von Störungen im Verantwortungsbereich von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laufende Betreuung, Wartung und Pflege der beauftragten Agenten im vertraglich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geringfügige Konfigurationsanpassungen bestehender Agenten ohne wesentliche Änderung des Leistungsumfangs;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Auskünfte zur Bedienung und zum vereinbarten Funktionsumfang.</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Nicht vom laufenden Beitrag umfasst und nur nach gesonderter Beauftragung und Vergütung geschuldet sind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Entwicklung, Einrichtung oder Freischaltung </w:t>
      </w:r>
      <w:r>
        <w:rPr>
          <w:rFonts w:ascii="Arial" w:cs="Arial" w:eastAsia="Arial" w:hAnsi="Arial"/>
          <w:b/>
          <w:bCs/>
          <w:i w:val="false"/>
          <w:iCs w:val="false"/>
          <w:color w:val="1A1A1A"/>
          <w:sz w:val="21"/>
          <w:szCs w:val="21"/>
        </w:rPr>
        <w:t xml:space="preserve">neuer Funktionen</w:t>
      </w:r>
      <w:r>
        <w:rPr>
          <w:rFonts w:ascii="Arial" w:cs="Arial" w:eastAsia="Arial" w:hAnsi="Arial"/>
          <w:b w:val="false"/>
          <w:bCs w:val="false"/>
          <w:i w:val="false"/>
          <w:iCs w:val="false"/>
          <w:color w:val="1A1A1A"/>
          <w:sz w:val="21"/>
          <w:szCs w:val="21"/>
        </w:rPr>
        <w:t xml:space="preserve"> oder wesentlicher Erweiterungen bestehender Agenten;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Erstellung, Einrichtung und Inbetriebnahme </w:t>
      </w:r>
      <w:r>
        <w:rPr>
          <w:rFonts w:ascii="Arial" w:cs="Arial" w:eastAsia="Arial" w:hAnsi="Arial"/>
          <w:b/>
          <w:bCs/>
          <w:i w:val="false"/>
          <w:iCs w:val="false"/>
          <w:color w:val="1A1A1A"/>
          <w:sz w:val="21"/>
          <w:szCs w:val="21"/>
        </w:rPr>
        <w:t xml:space="preserve">weiterer oder neuer Agenten</w:t>
      </w:r>
      <w:r>
        <w:rPr>
          <w:rFonts w:ascii="Arial" w:cs="Arial" w:eastAsia="Arial" w:hAnsi="Arial"/>
          <w:b w:val="false"/>
          <w:bCs w:val="false"/>
          <w:i w:val="false"/>
          <w:iCs w:val="false"/>
          <w:color w:val="1A1A1A"/>
          <w:sz w:val="21"/>
          <w:szCs w:val="21"/>
        </w:rPr>
        <w:t xml:space="preserv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Anbindung, Änderung oder Erweiterung von </w:t>
      </w:r>
      <w:r>
        <w:rPr>
          <w:rFonts w:ascii="Arial" w:cs="Arial" w:eastAsia="Arial" w:hAnsi="Arial"/>
          <w:b/>
          <w:bCs/>
          <w:i w:val="false"/>
          <w:iCs w:val="false"/>
          <w:color w:val="1A1A1A"/>
          <w:sz w:val="21"/>
          <w:szCs w:val="21"/>
        </w:rPr>
        <w:t xml:space="preserve">Integrationen</w:t>
      </w:r>
      <w:r>
        <w:rPr>
          <w:rFonts w:ascii="Arial" w:cs="Arial" w:eastAsia="Arial" w:hAnsi="Arial"/>
          <w:b w:val="false"/>
          <w:bCs w:val="false"/>
          <w:i w:val="false"/>
          <w:iCs w:val="false"/>
          <w:color w:val="1A1A1A"/>
          <w:sz w:val="21"/>
          <w:szCs w:val="21"/>
        </w:rPr>
        <w:t xml:space="preserve"> und Schnittstellen zu Dritt- oder Kundensystemen;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Schulungen</w:t>
      </w:r>
      <w:r>
        <w:rPr>
          <w:rFonts w:ascii="Arial" w:cs="Arial" w:eastAsia="Arial" w:hAnsi="Arial"/>
          <w:b w:val="false"/>
          <w:bCs w:val="false"/>
          <w:i w:val="false"/>
          <w:iCs w:val="false"/>
          <w:color w:val="1A1A1A"/>
          <w:sz w:val="21"/>
          <w:szCs w:val="21"/>
        </w:rPr>
        <w:t xml:space="preserve">, Workshops und Einweisungen;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Behebung von Störungen, die auf Ursachen im Verantwortungsbereich des Kunden, Dritter oder auf höhere Gewalt zurückzuführen sind (Aufwandsvergütung zu den jeweils gültigen Sätzen);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Leistungen außerhalb der Servicezeiten, soweit nicht gesondert vereinbart.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Nicht enthaltene Leistungen werden nach Aufwand zu den jeweils gültigen Netto-Stundensätzen von NexAI oder nach gesondertem Angebot abgerechnet. Alle Sätze verstehen sich netto zzgl. gesetzlicher Umsatzsteuer. NexAI wird den Kunden vor Aufnahme solcher Leistungen auf die Vergütungspflicht hinweisen.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Wartung und Wartungsfenster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zur Aufrechterhaltung und Verbesserung des Betriebs planbare Wartungsarbeiten durchzuführen. </w:t>
      </w:r>
      <w:r>
        <w:rPr>
          <w:rFonts w:ascii="Arial" w:cs="Arial" w:eastAsia="Arial" w:hAnsi="Arial"/>
          <w:b/>
          <w:bCs/>
          <w:i w:val="false"/>
          <w:iCs w:val="false"/>
          <w:color w:val="1A1A1A"/>
          <w:sz w:val="21"/>
          <w:szCs w:val="21"/>
        </w:rPr>
        <w:t xml:space="preserve">Planbare Wartungen</w:t>
      </w:r>
      <w:r>
        <w:rPr>
          <w:rFonts w:ascii="Arial" w:cs="Arial" w:eastAsia="Arial" w:hAnsi="Arial"/>
          <w:b w:val="false"/>
          <w:bCs w:val="false"/>
          <w:i w:val="false"/>
          <w:iCs w:val="false"/>
          <w:color w:val="1A1A1A"/>
          <w:sz w:val="21"/>
          <w:szCs w:val="21"/>
        </w:rPr>
        <w:t xml:space="preserve"> werden nach Möglichkeit außerhalb der üblichen Geschäftszeiten des Kunden durchgeführt.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Planbare Wartungsarbeiten, die zu einer voraussichtlichen Beeinträchtigung der Erreichbarkeit der Agenten führen, kündigt NexAI mit einer Frist von mindestens </w:t>
      </w:r>
      <w:r>
        <w:rPr>
          <w:rFonts w:ascii="Arial" w:cs="Arial" w:eastAsia="Arial" w:hAnsi="Arial"/>
          <w:b/>
          <w:bCs/>
          <w:i w:val="false"/>
          <w:iCs w:val="false"/>
          <w:color w:val="1A1A1A"/>
          <w:sz w:val="21"/>
          <w:szCs w:val="21"/>
        </w:rPr>
        <w:t xml:space="preserve">48 Stunden</w:t>
      </w:r>
      <w:r>
        <w:rPr>
          <w:rFonts w:ascii="Arial" w:cs="Arial" w:eastAsia="Arial" w:hAnsi="Arial"/>
          <w:b w:val="false"/>
          <w:bCs w:val="false"/>
          <w:i w:val="false"/>
          <w:iCs w:val="false"/>
          <w:color w:val="1A1A1A"/>
          <w:sz w:val="21"/>
          <w:szCs w:val="21"/>
        </w:rPr>
        <w:t xml:space="preserve"> in Textform (z. B. per E-Mail) an.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Notfall- und Sicherheitswartungen</w:t>
      </w:r>
      <w:r>
        <w:rPr>
          <w:rFonts w:ascii="Arial" w:cs="Arial" w:eastAsia="Arial" w:hAnsi="Arial"/>
          <w:b w:val="false"/>
          <w:bCs w:val="false"/>
          <w:i w:val="false"/>
          <w:iCs w:val="false"/>
          <w:color w:val="1A1A1A"/>
          <w:sz w:val="21"/>
          <w:szCs w:val="21"/>
        </w:rPr>
        <w:t xml:space="preserve"> – insbesondere zur Abwehr akuter Sicherheitsrisiken, zur Behebung schwerwiegender Störungen oder aufgrund zwingender Vorgaben von Subunternehmern – darf NexAI ohne Vorankündigung und jederzeit durchführen. NexAI wird den Kunden hierüber unverzüglich informieren.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Angekündigte planbare Wartungsfenster sowie kurzzeitige, wartungsbedingte Unterbrechungen oder Beeinträchtigungen gelten nicht als Nichtverfügbarkeit im Sinne von Abschnitt 7 und stellen keine Pflichtverletzung dar. Die zwingende gesetzliche Haftung von NexAI, insbesondere bei Vorsatz und grober Fahrlässigkeit sowie bei der Verletzung von Leben, Körper oder Gesundheit, bleibt unberührt.</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Verfügbarkeit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w:t>
      </w:r>
      <w:r>
        <w:rPr>
          <w:rFonts w:ascii="Arial" w:cs="Arial" w:eastAsia="Arial" w:hAnsi="Arial"/>
          <w:b/>
          <w:bCs/>
          <w:i w:val="false"/>
          <w:iCs w:val="false"/>
          <w:color w:val="1A1A1A"/>
          <w:sz w:val="21"/>
          <w:szCs w:val="21"/>
        </w:rPr>
        <w:t xml:space="preserve">keine garantierte Verfügbarkeit (Uptime)</w:t>
      </w:r>
      <w:r>
        <w:rPr>
          <w:rFonts w:ascii="Arial" w:cs="Arial" w:eastAsia="Arial" w:hAnsi="Arial"/>
          <w:b w:val="false"/>
          <w:bCs w:val="false"/>
          <w:i w:val="false"/>
          <w:iCs w:val="false"/>
          <w:color w:val="1A1A1A"/>
          <w:sz w:val="21"/>
          <w:szCs w:val="21"/>
        </w:rPr>
        <w:t xml:space="preserve"> der Agenten. Als </w:t>
      </w:r>
      <w:r>
        <w:rPr>
          <w:rFonts w:ascii="Arial" w:cs="Arial" w:eastAsia="Arial" w:hAnsi="Arial"/>
          <w:b/>
          <w:bCs/>
          <w:i w:val="false"/>
          <w:iCs w:val="false"/>
          <w:color w:val="1A1A1A"/>
          <w:sz w:val="21"/>
          <w:szCs w:val="21"/>
        </w:rPr>
        <w:t xml:space="preserve">unverbindliche Zielkennzahl</w:t>
      </w:r>
      <w:r>
        <w:rPr>
          <w:rFonts w:ascii="Arial" w:cs="Arial" w:eastAsia="Arial" w:hAnsi="Arial"/>
          <w:b w:val="false"/>
          <w:bCs w:val="false"/>
          <w:i w:val="false"/>
          <w:iCs w:val="false"/>
          <w:color w:val="1A1A1A"/>
          <w:sz w:val="21"/>
          <w:szCs w:val="21"/>
        </w:rPr>
        <w:t xml:space="preserve"> strebt NexAI für die von ihr selbst betriebene Orchestrierungsschicht eine Verfügbarkeit von </w:t>
      </w:r>
      <w:r>
        <w:rPr>
          <w:rFonts w:ascii="Arial" w:cs="Arial" w:eastAsia="Arial" w:hAnsi="Arial"/>
          <w:b/>
          <w:bCs/>
          <w:i w:val="false"/>
          <w:iCs w:val="false"/>
          <w:color w:val="1A1A1A"/>
          <w:sz w:val="21"/>
          <w:szCs w:val="21"/>
        </w:rPr>
        <w:t xml:space="preserve">99 % im Monatsmittel</w:t>
      </w:r>
      <w:r>
        <w:rPr>
          <w:rFonts w:ascii="Arial" w:cs="Arial" w:eastAsia="Arial" w:hAnsi="Arial"/>
          <w:b w:val="false"/>
          <w:bCs w:val="false"/>
          <w:i w:val="false"/>
          <w:iCs w:val="false"/>
          <w:color w:val="1A1A1A"/>
          <w:sz w:val="21"/>
          <w:szCs w:val="21"/>
        </w:rPr>
        <w:t xml:space="preserve"> an.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der Berechnung dieser Zielkennzahl bleiben unberücksichtigt: (a) Ausfälle, Störungen und Wartungen von Subunternehmern und Drittdiensten, (b) angekündigte und Notfall-Wartungsfenster (Abschnitt 6), (c) Ereignisse höherer Gewalt sowie (d) Störungen aus dem Verantwortungsbereich des Kunden oder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Zielkennzahl stellt eine </w:t>
      </w:r>
      <w:r>
        <w:rPr>
          <w:rFonts w:ascii="Arial" w:cs="Arial" w:eastAsia="Arial" w:hAnsi="Arial"/>
          <w:b/>
          <w:bCs/>
          <w:i w:val="false"/>
          <w:iCs w:val="false"/>
          <w:color w:val="1A1A1A"/>
          <w:sz w:val="21"/>
          <w:szCs w:val="21"/>
        </w:rPr>
        <w:t xml:space="preserve">Bemühensschuld</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keine Beschaffenheits- oder Verfügbarkeitsgarantie</w:t>
      </w:r>
      <w:r>
        <w:rPr>
          <w:rFonts w:ascii="Arial" w:cs="Arial" w:eastAsia="Arial" w:hAnsi="Arial"/>
          <w:b w:val="false"/>
          <w:bCs w:val="false"/>
          <w:i w:val="false"/>
          <w:iCs w:val="false"/>
          <w:color w:val="1A1A1A"/>
          <w:sz w:val="21"/>
          <w:szCs w:val="21"/>
        </w:rPr>
        <w:t xml:space="preserve"> und keine zugesicherte Eigenschaft dar. Aus dem bloßen Nichterreichen der Zielkennzahl ergeben sich keine Vertragsstrafen, Gutschriften oder Minderungsansprüche, soweit nicht ausdrücklich abweichend vereinbart. Zwingende gesetzliche Ansprüche des Kunden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Agenten beruhen auf wahrscheinlichkeitsbasierter KI-Technologie und sind naturgemäß nicht fehlerfrei; hierauf wird ausdrücklich hingewiesen. Eine Erfolgs-, Lead- oder Umsatzgarantie übernimmt NexAI nicht.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Störungsmeldung, Fallback und Business Continuity</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führt </w:t>
      </w:r>
      <w:r>
        <w:rPr>
          <w:rFonts w:ascii="Arial" w:cs="Arial" w:eastAsia="Arial" w:hAnsi="Arial"/>
          <w:b/>
          <w:bCs/>
          <w:i w:val="false"/>
          <w:iCs w:val="false"/>
          <w:color w:val="1A1A1A"/>
          <w:sz w:val="21"/>
          <w:szCs w:val="21"/>
        </w:rPr>
        <w:t xml:space="preserve">keine 24/7-Überwachung</w:t>
      </w:r>
      <w:r>
        <w:rPr>
          <w:rFonts w:ascii="Arial" w:cs="Arial" w:eastAsia="Arial" w:hAnsi="Arial"/>
          <w:b w:val="false"/>
          <w:bCs w:val="false"/>
          <w:i w:val="false"/>
          <w:iCs w:val="false"/>
          <w:color w:val="1A1A1A"/>
          <w:sz w:val="21"/>
          <w:szCs w:val="21"/>
        </w:rPr>
        <w:t xml:space="preserve"> der Agenten durch und sagt eine solche nicht zu. Die Erkennung und Meldung von Störungen erfolgt im Rahmen der Servicezeiten sowie durch Meldungen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selbst dafür verantwortlich, für den Fall einer Nichtverfügbarkeit oder Störung der Agenten ein </w:t>
      </w:r>
      <w:r>
        <w:rPr>
          <w:rFonts w:ascii="Arial" w:cs="Arial" w:eastAsia="Arial" w:hAnsi="Arial"/>
          <w:b/>
          <w:bCs/>
          <w:i w:val="false"/>
          <w:iCs w:val="false"/>
          <w:color w:val="1A1A1A"/>
          <w:sz w:val="21"/>
          <w:szCs w:val="21"/>
        </w:rPr>
        <w:t xml:space="preserve">angemessenes Ausweich- und Notfallverfahren (Fallback / Business Continuity)</w:t>
      </w:r>
      <w:r>
        <w:rPr>
          <w:rFonts w:ascii="Arial" w:cs="Arial" w:eastAsia="Arial" w:hAnsi="Arial"/>
          <w:b w:val="false"/>
          <w:bCs w:val="false"/>
          <w:i w:val="false"/>
          <w:iCs w:val="false"/>
          <w:color w:val="1A1A1A"/>
          <w:sz w:val="21"/>
          <w:szCs w:val="21"/>
        </w:rPr>
        <w:t xml:space="preserve"> vorzuhalten, das die Fortführung seiner geschäftskritischen Prozesse sicherstellt (z. B. Rufumleitung, manuelle Bearbeitung, alternative Kontaktwege).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verpflichtet, Störungen unverzüglich nach Kenntnis zu melden und den Schaden im Rahmen des Zumutbaren gering zu halten (</w:t>
      </w:r>
      <w:r>
        <w:rPr>
          <w:rFonts w:ascii="Arial" w:cs="Arial" w:eastAsia="Arial" w:hAnsi="Arial"/>
          <w:b/>
          <w:bCs/>
          <w:i w:val="false"/>
          <w:iCs w:val="false"/>
          <w:color w:val="1A1A1A"/>
          <w:sz w:val="21"/>
          <w:szCs w:val="21"/>
        </w:rPr>
        <w:t xml:space="preserve">Schadensminderungsobliegenheit gemäß § 254 BGB</w:t>
      </w:r>
      <w:r>
        <w:rPr>
          <w:rFonts w:ascii="Arial" w:cs="Arial" w:eastAsia="Arial" w:hAnsi="Arial"/>
          <w:b w:val="false"/>
          <w:bCs w:val="false"/>
          <w:i w:val="false"/>
          <w:iCs w:val="false"/>
          <w:color w:val="1A1A1A"/>
          <w:sz w:val="21"/>
          <w:szCs w:val="21"/>
        </w:rPr>
        <w:t xml:space="preserve">). Eine schuldhafte Verletzung dieser Obliegenheit kann Ansprüche des Kunden mindern oder ausschließen.</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Datensicherung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ist für die </w:t>
      </w:r>
      <w:r>
        <w:rPr>
          <w:rFonts w:ascii="Arial" w:cs="Arial" w:eastAsia="Arial" w:hAnsi="Arial"/>
          <w:b/>
          <w:bCs/>
          <w:i w:val="false"/>
          <w:iCs w:val="false"/>
          <w:color w:val="1A1A1A"/>
          <w:sz w:val="21"/>
          <w:szCs w:val="21"/>
        </w:rPr>
        <w:t xml:space="preserve">Sicherung seiner eigenen Daten</w:t>
      </w:r>
      <w:r>
        <w:rPr>
          <w:rFonts w:ascii="Arial" w:cs="Arial" w:eastAsia="Arial" w:hAnsi="Arial"/>
          <w:b w:val="false"/>
          <w:bCs w:val="false"/>
          <w:i w:val="false"/>
          <w:iCs w:val="false"/>
          <w:color w:val="1A1A1A"/>
          <w:sz w:val="21"/>
          <w:szCs w:val="21"/>
        </w:rPr>
        <w:t xml:space="preserve"> selbst verantwortlich. Führendes System für Geschäftsdaten ist das jeweilige </w:t>
      </w:r>
      <w:r>
        <w:rPr>
          <w:rFonts w:ascii="Arial" w:cs="Arial" w:eastAsia="Arial" w:hAnsi="Arial"/>
          <w:b/>
          <w:bCs/>
          <w:i w:val="false"/>
          <w:iCs w:val="false"/>
          <w:color w:val="1A1A1A"/>
          <w:sz w:val="21"/>
          <w:szCs w:val="21"/>
        </w:rPr>
        <w:t xml:space="preserve">Kundensystem</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 über die vertraglich vereinbarten Betriebsleistungen hinausgehende Datensicherung. Soweit eine Speicherung technisch abschaltbar ist, erfolgt keine Speicherung; im Übrigen gelten die Regelungen der Vertragsdokumente, insbesondere zur Aufbewahrung (regelmäßig sechs Monate) sowie zum 30-tägigen Export vor Löschung bei Vertragsende.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Vor Eingriffen, die mit einem Risiko für Datenbestände verbunden sein können, obliegt es dem Kunden, im Rahmen des Zumutbaren aktuelle Sicherungen der in seinen Systemen geführten Daten vorzuhalten.</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Drittanbieter und 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Erbringung der Betriebsleistungen setzt die Verfügbarkeit und Funktionsfähigkeit von </w:t>
      </w:r>
      <w:r>
        <w:rPr>
          <w:rFonts w:ascii="Arial" w:cs="Arial" w:eastAsia="Arial" w:hAnsi="Arial"/>
          <w:b/>
          <w:bCs/>
          <w:i w:val="false"/>
          <w:iCs w:val="false"/>
          <w:color w:val="1A1A1A"/>
          <w:sz w:val="21"/>
          <w:szCs w:val="21"/>
        </w:rPr>
        <w:t xml:space="preserve">Subunternehmern und Drittdiensten</w:t>
      </w:r>
      <w:r>
        <w:rPr>
          <w:rFonts w:ascii="Arial" w:cs="Arial" w:eastAsia="Arial" w:hAnsi="Arial"/>
          <w:b w:val="false"/>
          <w:bCs w:val="false"/>
          <w:i w:val="false"/>
          <w:iCs w:val="false"/>
          <w:color w:val="1A1A1A"/>
          <w:sz w:val="21"/>
          <w:szCs w:val="21"/>
        </w:rPr>
        <w:t xml:space="preserve"> voraus. NexAI hat auf deren Verfügbarkeit, Leistungsfähigkeit und Änderungen keinen Einfluss und übernimmt hierfür keine Gewähr. Störungen dieser Dienste liegen außerhalb des Verantwortungsbereichs von NexAI.</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wirkt bei der Bearbeitung von Störungen im erforderlichen Umfang mit. Dazu gehört insbesondere: die Bereitstellung einer nachvollziehbaren </w:t>
      </w:r>
      <w:r>
        <w:rPr>
          <w:rFonts w:ascii="Arial" w:cs="Arial" w:eastAsia="Arial" w:hAnsi="Arial"/>
          <w:b/>
          <w:bCs/>
          <w:i w:val="false"/>
          <w:iCs w:val="false"/>
          <w:color w:val="1A1A1A"/>
          <w:sz w:val="21"/>
          <w:szCs w:val="21"/>
        </w:rPr>
        <w:t xml:space="preserve">Fehlerbeschreibung</w:t>
      </w:r>
      <w:r>
        <w:rPr>
          <w:rFonts w:ascii="Arial" w:cs="Arial" w:eastAsia="Arial" w:hAnsi="Arial"/>
          <w:b w:val="false"/>
          <w:bCs w:val="false"/>
          <w:i w:val="false"/>
          <w:iCs w:val="false"/>
          <w:color w:val="1A1A1A"/>
          <w:sz w:val="21"/>
          <w:szCs w:val="21"/>
        </w:rPr>
        <w:t xml:space="preserve"> (Zeitpunkt, betroffener Agent, Auswirkung, gegebenenfalls Beispiele und Reproduktionsschritte), die zeitnahe Beantwortung von Rückfragen, die Benennung eines Ansprechpartners sowie die Bereitstellung erforderlicher </w:t>
      </w:r>
      <w:r>
        <w:rPr>
          <w:rFonts w:ascii="Arial" w:cs="Arial" w:eastAsia="Arial" w:hAnsi="Arial"/>
          <w:b/>
          <w:bCs/>
          <w:i w:val="false"/>
          <w:iCs w:val="false"/>
          <w:color w:val="1A1A1A"/>
          <w:sz w:val="21"/>
          <w:szCs w:val="21"/>
        </w:rPr>
        <w:t xml:space="preserve">Zugänge</w:t>
      </w:r>
      <w:r>
        <w:rPr>
          <w:rFonts w:ascii="Arial" w:cs="Arial" w:eastAsia="Arial" w:hAnsi="Arial"/>
          <w:b w:val="false"/>
          <w:bCs w:val="false"/>
          <w:i w:val="false"/>
          <w:iCs w:val="false"/>
          <w:color w:val="1A1A1A"/>
          <w:sz w:val="21"/>
          <w:szCs w:val="21"/>
        </w:rPr>
        <w:t xml:space="preserve">, Informationen und Freigaben.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Verzögerungen und Mehraufwände, die auf eine unzureichende oder verspätete Mitwirkung des Kunden zurückzuführen sind, gehen nicht zu Lasten von NexAI und hemmen den Lauf der Reaktionszeiten (Abschnitt 4.2 Ziffer 4).</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Änderungsvorbehalt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dieses SLA mit Wirkung für die Zukunft anzupassen, soweit dies aus sachlichen Gründen – insbesondere aufgrund technischer Weiterentwicklungen, geänderter Leistungen von Subunternehmern oder geänderter rechtlicher Rahmenbedingungen – erforderlich ist und die Anpassung den Kunden nicht unangemessen benachteiligt. Der wesentliche Kern der geschuldeten Leistung bleibt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Änderungen kündigt NexAI mindestens </w:t>
      </w:r>
      <w:r>
        <w:rPr>
          <w:rFonts w:ascii="Arial" w:cs="Arial" w:eastAsia="Arial" w:hAnsi="Arial"/>
          <w:b/>
          <w:bCs/>
          <w:i w:val="false"/>
          <w:iCs w:val="false"/>
          <w:color w:val="1A1A1A"/>
          <w:sz w:val="21"/>
          <w:szCs w:val="21"/>
        </w:rPr>
        <w:t xml:space="preserve">sechs Wochen</w:t>
      </w:r>
      <w:r>
        <w:rPr>
          <w:rFonts w:ascii="Arial" w:cs="Arial" w:eastAsia="Arial" w:hAnsi="Arial"/>
          <w:b w:val="false"/>
          <w:bCs w:val="false"/>
          <w:i w:val="false"/>
          <w:iCs w:val="false"/>
          <w:color w:val="1A1A1A"/>
          <w:sz w:val="21"/>
          <w:szCs w:val="21"/>
        </w:rPr>
        <w:t xml:space="preserve"> vor ihrem Wirksamwerden in Textform an; dabei werden die geänderten Regelungen mitgeteilt oder in konsolidierter Fassung übermittelt.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Beeinträchtigt die Änderung die Interessen des Kunden nicht nur unerheblich, steht dem Kunden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des betroffenen Betriebsverhältnisses zum Zeitpunkt des Wirksamwerdens der Änderung zu. Kündigt der Kunde nicht, wird die Änderung zum angekündigten Zeitpunkt wirksam. Eine </w:t>
      </w:r>
      <w:r>
        <w:rPr>
          <w:rFonts w:ascii="Arial" w:cs="Arial" w:eastAsia="Arial" w:hAnsi="Arial"/>
          <w:b/>
          <w:bCs/>
          <w:i w:val="false"/>
          <w:iCs w:val="false"/>
          <w:color w:val="1A1A1A"/>
          <w:sz w:val="21"/>
          <w:szCs w:val="21"/>
        </w:rPr>
        <w:t xml:space="preserve">Zustimmungsfiktion</w:t>
      </w:r>
      <w:r>
        <w:rPr>
          <w:rFonts w:ascii="Arial" w:cs="Arial" w:eastAsia="Arial" w:hAnsi="Arial"/>
          <w:b w:val="false"/>
          <w:bCs w:val="false"/>
          <w:i w:val="false"/>
          <w:iCs w:val="false"/>
          <w:color w:val="1A1A1A"/>
          <w:sz w:val="21"/>
          <w:szCs w:val="21"/>
        </w:rPr>
        <w:t xml:space="preserve"> wird nicht vereinbart; auf das Sonderkündigungsrecht und die Bedeutung eines Unterbleibens der Kündigung wird in der Änderungsankündigung gesondert hingewiesen.</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Dieses Dokument ist ein sorgfältig erstellter Entwurf und ersetzt keine Rechtsberatung im Einzelfall. Es sollte vor Verwendung für den konkreten Einzelfall anwaltlich geprüft werden.</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D – Abnahmeprotokoll (Projekt-/Werkleistungen)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Abnahme einmaliger Werkleistungen gemäß Rahmenvertrag und Auftragsformular</w:t>
      </w:r>
    </w:p>
    <w:p>
      <w:pPr>
        <w:spacing w:after="200"/>
      </w:pPr>
      <w:r>
        <w:rPr>
          <w:rFonts w:ascii="Arial" w:cs="Arial" w:eastAsia="Arial" w:hAnsi="Arial"/>
          <w:b w:val="false"/>
          <w:bCs w:val="false"/>
          <w:i w:val="false"/>
          <w:iCs w:val="false"/>
          <w:color w:val="6B7280"/>
          <w:sz w:val="18"/>
          <w:szCs w:val="18"/>
        </w:rPr>
        <w:t xml:space="preserve">Stand: Juli 2026</w:t>
      </w:r>
    </w:p>
    <w:p>
      <w:pPr>
        <w:spacing w:after="120" w:line="276"/>
        <w:jc w:val="both"/>
      </w:pPr>
      <w:r>
        <w:rPr>
          <w:rFonts w:ascii="Arial" w:cs="Arial" w:eastAsia="Arial" w:hAnsi="Arial"/>
          <w:b w:val="false"/>
          <w:bCs w:val="false"/>
          <w:i w:val="false"/>
          <w:iCs w:val="false"/>
          <w:color w:val="1A1A1A"/>
          <w:sz w:val="21"/>
          <w:szCs w:val="21"/>
        </w:rPr>
        <w:t xml:space="preserve">Dieses Abnahmeprotokoll dokumentiert die Abnahme der von NexAI erbrachten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(einmalige Werkleistungen, insbesondere Website-Erstellung und Ersteinrichtung) im Sinne der Vertragsdokumente. Es ergänzt den zwischen den Parteien geschlossenen Rahmenvertrag und das zugehörige Auftragsformular/den Leistungsschein und wird nach seiner Unterzeichnung Bestandteil der Vertragsdokumente.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Parteien</w:t>
      </w:r>
    </w:p>
    <w:p>
      <w:pPr>
        <w:pStyle w:val="Heading2"/>
        <w:keepNext/>
        <w:spacing w:after="80" w:before="160"/>
      </w:pPr>
      <w:r>
        <w:rPr>
          <w:rFonts w:ascii="Arial" w:cs="Arial" w:eastAsia="Arial" w:hAnsi="Arial"/>
          <w:b/>
          <w:bCs/>
          <w:i w:val="false"/>
          <w:iCs w:val="false"/>
          <w:color w:val="0B0B0F"/>
          <w:sz w:val="21"/>
          <w:szCs w:val="21"/>
        </w:rPr>
        <w:t xml:space="preserve">Auftragnehmer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„NexAI".</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Projekt-/Feldangaben</w:t>
      </w:r>
    </w:p>
    <w:p>
      <w:pPr>
        <w:spacing w:after="120"/>
      </w:pPr>
      <w:r>
        <w:rPr>
          <w:rFonts w:ascii="Arial" w:cs="Arial" w:eastAsia="Arial" w:hAnsi="Arial"/>
          <w:b/>
          <w:bCs/>
          <w:color w:val="1A1A1A"/>
          <w:sz w:val="21"/>
          <w:szCs w:val="21"/>
        </w:rPr>
        <w:t xml:space="preserve">Projekt / Bezeichnung: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Auftragsformular / Leistungsschein 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Projektbeginn: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Fertigstellungsanzeige: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Abnahmedatum: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Ort der Abnahme: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Gegenstand der Abnahme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dieses Protokolls ist die Abnahme der im vorgenannten Auftragsformular/Leistungsschein sowie in Anlage A (Leistungsbeschreibung) beschriebenen Projektleistungen. Es gelten ergänzend die Regelungen des Rahmenvertrages, insbesondere zu Abnahme, Vergütung und Gewährleistung, sowie der AGB (B2B).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Projektleistungen unterliegen dem Werkvertragsrecht (§§ 631 ff. BGB). Laufende Betriebsleistungen (Betrieb, Wartung, Hosting und Support der Agenten) sind nicht Gegenstand dieser Abnahme; sie richten sich nach den dienstvertraglichen Regelungen des Rahmenvertrages und der Anlage C (SLA).</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Maßgeblich für den geschuldeten Leistungsumfang sind die vertraglich vereinbarten Spezifikationen gemäß Auftragsformular und Anlage A (Leistungsbeschreibung). Ergänzungs- oder Änderungswünsche außerhalb dieses Umfangs werden gesondert beauftragt und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Werden mehrere Projektleistungen zu unterschiedlichen Zeitpunkten fertiggestellt, kann die Abnahme in sich abgeschlossener Teilleistungen mittels gesondertem Protokoll erfolgen (Teilabnahme); die Regelungen dieses Protokolls gelten für Teilabnahmen entsprechend.</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Die nachfolgend angekreuzten Leistungen wurden erbracht und werden zur Abnahme vorgelegt: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Voice Agent (KI-Telefonassistent)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Chat Agent (Website-/Messaging-Chatbot)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Social-Media-Agent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Vertriebs-/Akquise-Agent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Terminbuchung / Kalender-Automatisierung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CRM-Anbindung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Kalender-Integration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Google Sheets / Tabellen-Integration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E-Mail-Automatisierung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API-Integration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Workflow-Automatisierung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Website (Erstellung / Relaunch)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Individuelle Entwicklung / individueller KI-Agent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Sonstige:</w:t>
      </w:r>
    </w:p>
    <w:p>
      <w:pPr>
        <w:spacing w:after="120"/>
      </w:pPr>
      <w:r>
        <w:rPr>
          <w:rFonts w:ascii="Arial" w:cs="Arial" w:eastAsia="Arial" w:hAnsi="Arial"/>
          <w:b/>
          <w:bCs/>
          <w:color w:val="1A1A1A"/>
          <w:sz w:val="21"/>
          <w:szCs w:val="21"/>
        </w:rPr>
        <w:t xml:space="preserve">Sonstige (Beschreibung):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Im Rahmen der Übergabe wurden die nachfolgend angekreuzten Positionen bereitgestellt: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Zugangsdaten / Zugänge übergeben bzw. eingerichtet (soweit vereinbart; Accounts und Infrastruktur laufen im Übrigen als Betriebsmittel über NexAI, ohne Herausgabeanspruch des Kunden)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Einweisung / Schulung des Kunden durchgeführt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Dokumentation / Bedienhinweise übergeben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KI-Kennzeichnung / Transparenzhinweise (Art. 50 KI-VO) eingerichtet und aktiv</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Support-Ansprechpartner benannt</w:t>
      </w:r>
    </w:p>
    <w:p>
      <w:pPr>
        <w:spacing w:after="120"/>
      </w:pPr>
      <w:r>
        <w:rPr>
          <w:rFonts w:ascii="Arial" w:cs="Arial" w:eastAsia="Arial" w:hAnsi="Arial"/>
          <w:b/>
          <w:bCs/>
          <w:color w:val="1A1A1A"/>
          <w:sz w:val="21"/>
          <w:szCs w:val="21"/>
        </w:rPr>
        <w:t xml:space="preserve">Support-Ansprechpartner: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noch offene Restarbeiten?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 mit vereinbarter Erledigungsfrist</w:t>
      </w:r>
    </w:p>
    <w:p>
      <w:pPr>
        <w:spacing w:after="120"/>
      </w:pPr>
      <w:r>
        <w:rPr>
          <w:rFonts w:ascii="Arial" w:cs="Arial" w:eastAsia="Arial" w:hAnsi="Arial"/>
          <w:b/>
          <w:bCs/>
          <w:color w:val="1A1A1A"/>
          <w:sz w:val="21"/>
          <w:szCs w:val="21"/>
        </w:rPr>
        <w:t xml:space="preserve">Beschreibung der Restarbeiten: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Erledigung bis: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Mängel?</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w:t>
      </w:r>
    </w:p>
    <w:p>
      <w:pPr>
        <w:spacing w:after="120"/>
      </w:pPr>
      <w:r>
        <w:rPr>
          <w:rFonts w:ascii="Arial" w:cs="Arial" w:eastAsia="Arial" w:hAnsi="Arial"/>
          <w:b/>
          <w:bCs/>
          <w:color w:val="1A1A1A"/>
          <w:sz w:val="21"/>
          <w:szCs w:val="21"/>
        </w:rPr>
        <w:t xml:space="preserve">Beschreibung der Mängel: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Etwaige vorbehaltene Mängel sind vorstehend konkret zu bezeichnen. Behält sich der Kunde die Geltendmachung eines bei der Abnahme bekannten Mangels nicht vor, so stehen ihm die Rechte aus §§ 634 Nr. 1 bis 3 BGB insoweit nur zu, wenn er sich diese bei der Abnahme vorbehält (§ 640 Abs. 3 BGB); die weiteren Gewährleistungsrechte bleiben hiervon unberührt.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Abnahmeerklärung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bestätigt mit seiner Unterschrift, dass die vorgelegten Projektleistungen abgenommen werden. Die Parteien sind sich einig, dass die Leistungen im Wesentlichen vertragsgemäß erbracht wurden.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Unwesentliche Mängel</w:t>
      </w:r>
      <w:r>
        <w:rPr>
          <w:rFonts w:ascii="Arial" w:cs="Arial" w:eastAsia="Arial" w:hAnsi="Arial"/>
          <w:b w:val="false"/>
          <w:bCs w:val="false"/>
          <w:i w:val="false"/>
          <w:iCs w:val="false"/>
          <w:color w:val="1A1A1A"/>
          <w:sz w:val="21"/>
          <w:szCs w:val="21"/>
        </w:rPr>
        <w:t xml:space="preserve"> berechtigen den Kunden nicht zur Verweigerung der Abnahme (§ 640 Abs. 1 Satz 2 BGB). Etwaige unter Ziffer 6 (Restarbeiten) und Ziffer 7 (Mängel) bezeichnete Positionen werden von NexAI im vereinbarten Rahmen und innerhalb angemessener Frist nachgeholt bzw. beseitigt; die diesbezüglichen Gewährleistungsrechte des Kunden bleiben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Abnahmefiktion (§ 640 Abs. 2 BGB):</w:t>
      </w:r>
      <w:r>
        <w:rPr>
          <w:rFonts w:ascii="Arial" w:cs="Arial" w:eastAsia="Arial" w:hAnsi="Arial"/>
          <w:b w:val="false"/>
          <w:bCs w:val="false"/>
          <w:i w:val="false"/>
          <w:iCs w:val="false"/>
          <w:color w:val="1A1A1A"/>
          <w:sz w:val="21"/>
          <w:szCs w:val="21"/>
        </w:rPr>
        <w:t xml:space="preserve"> Zeigt NexAI die Fertigstellung der Werkleistung an und setzt dem Kunden eine angemessene Frist zur Abnahme, so gilt die Werkleistung nach Ablauf dieser Frist als abgenommen, wenn der Kunde die Abnahme nicht innerhalb der Frist unter Angabe mindestens eines Mangels verweigert hat. Auf diese Rechtsfolge weist NexAI den Kunden in der Fertigstellungsanzeige gesondert hin.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Beginn der Gewährleistungsfrist:</w:t>
      </w:r>
      <w:r>
        <w:rPr>
          <w:rFonts w:ascii="Arial" w:cs="Arial" w:eastAsia="Arial" w:hAnsi="Arial"/>
          <w:b w:val="false"/>
          <w:bCs w:val="false"/>
          <w:i w:val="false"/>
          <w:iCs w:val="false"/>
          <w:color w:val="1A1A1A"/>
          <w:sz w:val="21"/>
          <w:szCs w:val="21"/>
        </w:rPr>
        <w:t xml:space="preserve"> Mit der Abnahme – einschließlich der Fälle der Abnahmefiktion nach vorstehender Ziffer (3) sowie einer etwaigen Teilabnahme gemäß Ziffer 3 (4) – beginnt die auf </w:t>
      </w:r>
      <w:r>
        <w:rPr>
          <w:rFonts w:ascii="Arial" w:cs="Arial" w:eastAsia="Arial" w:hAnsi="Arial"/>
          <w:b/>
          <w:bCs/>
          <w:i w:val="false"/>
          <w:iCs w:val="false"/>
          <w:color w:val="1A1A1A"/>
          <w:sz w:val="21"/>
          <w:szCs w:val="21"/>
        </w:rPr>
        <w:t xml:space="preserve">ein (1) Jahr</w:t>
      </w:r>
      <w:r>
        <w:rPr>
          <w:rFonts w:ascii="Arial" w:cs="Arial" w:eastAsia="Arial" w:hAnsi="Arial"/>
          <w:b w:val="false"/>
          <w:bCs w:val="false"/>
          <w:i w:val="false"/>
          <w:iCs w:val="false"/>
          <w:color w:val="1A1A1A"/>
          <w:sz w:val="21"/>
          <w:szCs w:val="21"/>
        </w:rPr>
        <w:t xml:space="preserve"> verkürzte Verjährungsfrist für Mängelansprüche des Kunden hinsichtlich der abgenommenen Werkleistungen. Die gesetzlich zwingenden Ausnahmen (Vorsatz, Arglist, Schäden aus der Verletzung des Lebens, des Körpers oder der Gesundheit sowie grobes Verschulden) bleiben unberührt; im Übrigen gelten die Regelungen des Rahmenvertrages und der AGB (B2B).</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Mit der Abnahme geht die Gefahr auf den Kunden über und die Vergütung für die abgenommenen Projektleistungen wird gemäß den Regelungen der Vertragsdokumente fällig. Die Abnahme lässt die vertraglich vereinbarten Vergütungs-, Haftungs- und sonstigen Regelungen der Vertragsdokumente im Übrigen unberührt.</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0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Dieses Abnahmeprotokoll ist Teil eines sorgfältig erstellten Vertragsentwurfs. Es ersetzt keine Rechtsberatung und sollte für den konkreten Einzelfall anwaltlich geprüft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SEPA-Firmenlastschriftmandat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Mandat für wiederkehrende Zahlungen im SEPA-Firmenlastschriftverfahren (SEPA Business-to-Business Direct Debit Mandate)</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Mandat ergänzt den zwischen NexAI und dem Kunden geschlossenen Rahmenvertrag sowie das zugehörige Auftragsformular/den Leistungsschein. Es berechtigt NexAI, die dort vereinbarten wiederkehrenden Beiträge (monatlicher bzw. jährlicher Beitrag) sowie den abgerechneten Mehrverbrauch (Overage) im Wege der SEPA-Firmenlastschrift von dem nachstehend bezeichneten Konto des Kunden einzuziehen. Im Übrigen gelten die Zahlungsbestimmungen des Rahmenvertrages und der AGB (B2B) fort.</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Zahlungsempfänger / Gläubiger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 Telefon: 0176 80714816
— nachfolgend "NexAI" oder "Gläubiger" —</w:t>
      </w:r>
    </w:p>
    <w:p>
      <w:pPr>
        <w:spacing w:after="120"/>
      </w:pPr>
      <w:r>
        <w:rPr>
          <w:rFonts w:ascii="Arial" w:cs="Arial" w:eastAsia="Arial" w:hAnsi="Arial"/>
          <w:b/>
          <w:bCs/>
          <w:color w:val="1A1A1A"/>
          <w:sz w:val="21"/>
          <w:szCs w:val="21"/>
        </w:rPr>
        <w:t xml:space="preserve">Gläubiger-Identifikationsnummer (Creditor Identifier): </w:t>
      </w:r>
      <w:r>
        <w:rPr>
          <w:rFonts w:ascii="Arial" w:cs="Arial" w:eastAsia="Arial" w:hAnsi="Arial"/>
          <w:color w:val="1A1A1A"/>
          <w:sz w:val="21"/>
          <w:szCs w:val="21"/>
        </w:rPr>
        <w:t xml:space="preserve">____</w:t>
      </w:r>
    </w:p>
    <w:p>
      <w:pPr>
        <w:spacing w:after="120"/>
      </w:pPr>
      <w:r>
        <w:rPr>
          <w:rFonts w:ascii="Arial" w:cs="Arial" w:eastAsia="Arial" w:hAnsi="Arial"/>
          <w:b/>
          <w:bCs/>
          <w:color w:val="1A1A1A"/>
          <w:sz w:val="21"/>
          <w:szCs w:val="21"/>
        </w:rPr>
        <w:t xml:space="preserve">Mandatsreferenz: </w:t>
      </w:r>
      <w:r>
        <w:rPr>
          <w:rFonts w:ascii="Arial" w:cs="Arial" w:eastAsia="Arial" w:hAnsi="Arial"/>
          <w:color w:val="1A1A1A"/>
          <w:sz w:val="21"/>
          <w:szCs w:val="21"/>
        </w:rPr>
        <w:t xml:space="preserve">____</w:t>
      </w:r>
    </w:p>
    <w:p>
      <w:pPr>
        <w:spacing w:after="140" w:before="80"/>
      </w:pPr>
      <w:r>
        <w:rPr>
          <w:rFonts w:ascii="Arial" w:cs="Arial" w:eastAsia="Arial" w:hAnsi="Arial"/>
          <w:b w:val="false"/>
          <w:bCs w:val="false"/>
          <w:i/>
          <w:iCs/>
          <w:color w:val="6B7280"/>
          <w:sz w:val="18"/>
          <w:szCs w:val="18"/>
        </w:rPr>
        <w:t xml:space="preserve">Wird die Mandatsreferenz bei Mandatserteilung noch nicht vergeben, teilt NexAI sie dem Kunden spätestens mit der ersten Vorabankündigung (Pre-Notification) gesondert in Textform mit. Die Mandatsreferenz bildet zusammen mit der Gläubiger-Identifikationsnummer die eindeutige Kennung dieses Mandats.</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Zahler / Kunde</w:t>
      </w:r>
    </w:p>
    <w:p>
      <w:pPr>
        <w:spacing w:after="120"/>
      </w:pPr>
      <w:r>
        <w:rPr>
          <w:rFonts w:ascii="Arial" w:cs="Arial" w:eastAsia="Arial" w:hAnsi="Arial"/>
          <w:b/>
          <w:bCs/>
          <w:color w:val="1A1A1A"/>
          <w:sz w:val="21"/>
          <w:szCs w:val="21"/>
        </w:rPr>
        <w:t xml:space="preserve">Name / Firma des Zahlers (Kontoinhaber):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Ort, 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Kreditinstitut (Name der Bank):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IBAN: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BIC: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Zahler ist Nichtverbraucher (Unternehmer, juristische Person oder rechtsfähige Personengesellschaft) und damit zur Teilnahme am SEPA-Firmenlastschriftverfahren zugelassen. Das Firmenlastschriftverfahren ist Verbrauchern nicht eröffnet. Ist der Kontoinhaber nicht mit dem Kunden aus dem Rahmenvertrag identisch, sichert der Kunde zu, zur Erteilung dieses Mandats über das vorstehende Konto berechtigt zu sein.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Ich/Wir ermächtige(n) NexAI, Zahlungen von meinem/unserem vorstehend bezeichneten Konto mittels </w:t>
      </w:r>
      <w:r>
        <w:rPr>
          <w:rFonts w:ascii="Arial" w:cs="Arial" w:eastAsia="Arial" w:hAnsi="Arial"/>
          <w:b/>
          <w:bCs/>
          <w:i w:val="false"/>
          <w:iCs w:val="false"/>
          <w:color w:val="1A1A1A"/>
          <w:sz w:val="21"/>
          <w:szCs w:val="21"/>
        </w:rPr>
        <w:t xml:space="preserve">SEPA-Firmenlastschrift</w:t>
      </w:r>
      <w:r>
        <w:rPr>
          <w:rFonts w:ascii="Arial" w:cs="Arial" w:eastAsia="Arial" w:hAnsi="Arial"/>
          <w:b w:val="false"/>
          <w:bCs w:val="false"/>
          <w:i w:val="false"/>
          <w:iCs w:val="false"/>
          <w:color w:val="1A1A1A"/>
          <w:sz w:val="21"/>
          <w:szCs w:val="21"/>
        </w:rPr>
        <w:t xml:space="preserve"> einzuziehen. Zugleich weise(n) ich/wir mein/unser Kreditinstitut an, die von NexAI auf mein/unser Konto gezogenen SEPA-Firmenlastschriften einzulösen.</w:t>
      </w:r>
    </w:p>
    <w:p>
      <w:pPr>
        <w:spacing w:after="120" w:line="276"/>
        <w:jc w:val="both"/>
      </w:pPr>
      <w:r>
        <w:rPr>
          <w:rFonts w:ascii="Arial" w:cs="Arial" w:eastAsia="Arial" w:hAnsi="Arial"/>
          <w:b w:val="false"/>
          <w:bCs w:val="false"/>
          <w:i w:val="false"/>
          <w:iCs w:val="false"/>
          <w:color w:val="1A1A1A"/>
          <w:sz w:val="21"/>
          <w:szCs w:val="21"/>
        </w:rPr>
        <w:t xml:space="preserve">Dieses Mandat gilt für </w:t>
      </w:r>
      <w:r>
        <w:rPr>
          <w:rFonts w:ascii="Arial" w:cs="Arial" w:eastAsia="Arial" w:hAnsi="Arial"/>
          <w:b/>
          <w:bCs/>
          <w:i w:val="false"/>
          <w:iCs w:val="false"/>
          <w:color w:val="1A1A1A"/>
          <w:sz w:val="21"/>
          <w:szCs w:val="21"/>
        </w:rPr>
        <w:t xml:space="preserve">wiederkehrende Zahlungen</w:t>
      </w:r>
      <w:r>
        <w:rPr>
          <w:rFonts w:ascii="Arial" w:cs="Arial" w:eastAsia="Arial" w:hAnsi="Arial"/>
          <w:b w:val="false"/>
          <w:bCs w:val="false"/>
          <w:i w:val="false"/>
          <w:iCs w:val="false"/>
          <w:color w:val="1A1A1A"/>
          <w:sz w:val="21"/>
          <w:szCs w:val="21"/>
        </w:rPr>
        <w:t xml:space="preserve"> – insbesondere die vereinbarten monatlichen bzw. jährlichen Beiträge sowie den abgerechneten Mehrverbrauch (Overage) – und bleibt bis auf Widerruf gültig.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Kein Erstattungsanspruch nach Einlösung:</w:t>
      </w:r>
      <w:r>
        <w:rPr>
          <w:rFonts w:ascii="Arial" w:cs="Arial" w:eastAsia="Arial" w:hAnsi="Arial"/>
          <w:b w:val="false"/>
          <w:bCs w:val="false"/>
          <w:i w:val="false"/>
          <w:iCs w:val="false"/>
          <w:color w:val="1A1A1A"/>
          <w:sz w:val="21"/>
          <w:szCs w:val="21"/>
        </w:rPr>
        <w:t xml:space="preserve"> Im SEPA-Firmenlastschriftverfahren besteht – anders als bei der SEPA-Basislastschrift – nach erfolgter Einlösung kein Anspruch auf Erstattung des belasteten Betrages. Mit Belastung meines/unseres Kontos ist die Zahlung endgültig; ein Erstattungsverlangen ist ausgeschlossen (§ 675x Abs. 1 i. V. m. § 675e Abs. 4 BGB). Einwendungen gegen die Berechtigung der Forderung sind unmittelbar gegenüber NexAI geltend zu machen und lassen die Endgültigkeit der Zahlung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Registrierungspflicht bei der Bank:</w:t>
      </w:r>
      <w:r>
        <w:rPr>
          <w:rFonts w:ascii="Arial" w:cs="Arial" w:eastAsia="Arial" w:hAnsi="Arial"/>
          <w:b w:val="false"/>
          <w:bCs w:val="false"/>
          <w:i w:val="false"/>
          <w:iCs w:val="false"/>
          <w:color w:val="1A1A1A"/>
          <w:sz w:val="21"/>
          <w:szCs w:val="21"/>
        </w:rPr>
        <w:t xml:space="preserve"> Ich/Wir verpflichte(n) mich/uns, dieses Mandat unverzüglich, spätestens jedoch vor dem ersten Einzug, bei meinem/unserem Kreditinstitut zu bestätigen bzw. registrieren zu lassen. Ohne diese Registrierung kann die Bank den Einzug zurückweisen; hierdurch bedingte Rücklastschriften, Kosten und Verzögerungen gehen zu Lasten des Zahlers (Abschnitt 5).</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Prüfung durch die Bank:</w:t>
      </w:r>
      <w:r>
        <w:rPr>
          <w:rFonts w:ascii="Arial" w:cs="Arial" w:eastAsia="Arial" w:hAnsi="Arial"/>
          <w:b w:val="false"/>
          <w:bCs w:val="false"/>
          <w:i w:val="false"/>
          <w:iCs w:val="false"/>
          <w:color w:val="1A1A1A"/>
          <w:sz w:val="21"/>
          <w:szCs w:val="21"/>
        </w:rPr>
        <w:t xml:space="preserve"> Mein/Unser Kreditinstitut ist nicht verpflichtet, die Lastschrift einzulösen, insbesondere wenn das Konto nicht die erforderliche Deckung aufweist. Eine nur teilweise Einlösung erfolgt nicht.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Änderungen der Kontoverbindung:</w:t>
      </w:r>
      <w:r>
        <w:rPr>
          <w:rFonts w:ascii="Arial" w:cs="Arial" w:eastAsia="Arial" w:hAnsi="Arial"/>
          <w:b w:val="false"/>
          <w:bCs w:val="false"/>
          <w:i w:val="false"/>
          <w:iCs w:val="false"/>
          <w:color w:val="1A1A1A"/>
          <w:sz w:val="21"/>
          <w:szCs w:val="21"/>
        </w:rPr>
        <w:t xml:space="preserve"> Änderungen der Kontoverbindung (IBAN, BIC, Kreditinstitut) oder der Kontoinhaberschaft sind NexAI unverzüglich in Textform mitzuteilen. Bei Änderung der Kontoverbindung ist auf Verlangen von NexAI ein neues Mandat zu erteilen.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Widerruf:</w:t>
      </w:r>
      <w:r>
        <w:rPr>
          <w:rFonts w:ascii="Arial" w:cs="Arial" w:eastAsia="Arial" w:hAnsi="Arial"/>
          <w:b w:val="false"/>
          <w:bCs w:val="false"/>
          <w:i w:val="false"/>
          <w:iCs w:val="false"/>
          <w:color w:val="1A1A1A"/>
          <w:sz w:val="21"/>
          <w:szCs w:val="21"/>
        </w:rPr>
        <w:t xml:space="preserve"> Das Mandat kann jederzeit mit Wirkung für die Zukunft widerrufen werden. Der Widerruf ist gegenüber NexAI in Textform (z. B. E-Mail an mbt@nex-a-i.com) zu erklären; er lässt bereits fällige oder bereits eingezogene Forderungen sowie die Zahlungspflicht aus dem Rahmenvertrag unberührt. Bei Wegfall des Mandats erfolgt die Zahlung per Überweisung nach Abschnitt 6.</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NexAI kündigt jeden Einzug per SEPA-Firmenlastschrift vorab an (Pre-Notification). Die Frist für die Vorabankündigung wird einvernehmlich auf </w:t>
      </w:r>
      <w:r>
        <w:rPr>
          <w:rFonts w:ascii="Arial" w:cs="Arial" w:eastAsia="Arial" w:hAnsi="Arial"/>
          <w:b/>
          <w:bCs/>
          <w:i w:val="false"/>
          <w:iCs w:val="false"/>
          <w:color w:val="1A1A1A"/>
          <w:sz w:val="21"/>
          <w:szCs w:val="21"/>
        </w:rPr>
        <w:t xml:space="preserve">einen (1) Kalendertag</w:t>
      </w:r>
      <w:r>
        <w:rPr>
          <w:rFonts w:ascii="Arial" w:cs="Arial" w:eastAsia="Arial" w:hAnsi="Arial"/>
          <w:b w:val="false"/>
          <w:bCs w:val="false"/>
          <w:i w:val="false"/>
          <w:iCs w:val="false"/>
          <w:color w:val="1A1A1A"/>
          <w:sz w:val="21"/>
          <w:szCs w:val="21"/>
        </w:rPr>
        <w:t xml:space="preserve"> vor Fälligkeit verkürzt. Die Vorabankündigung kann in Textform erfolgen, insbesondere per E-Mail oder als Bestandteil der Rechnung, und enthält Betrag und Fälligkeitsdatum. Bei wiederkehrenden Beiträgen gleichbleibender Höhe genügt eine einmalige Vorabankündigung unter Angabe von Betrag, Fälligkeitsturnus und Mandatsreferenz; ändert sich der Betrag (z. B. durch Mehrverbrauch/Overage), wird der geänderte Betrag rechtzeitig unter Wahrung der vorgenannten Frist angekündigt.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Wird eine Lastschrift aus einem vom Kunden zu vertretenden Grund zurückgegeben – insbesondere mangels Kontodeckung, wegen fehlender oder nicht registrierter Mandatsbestätigung bei der Bank, wegen Widerspruchs oder Auflösung des Kontos –, so trägt der Kunde die hierdurch entstehenden Kosten. Der Kunde erstattet NexAI die </w:t>
      </w:r>
      <w:r>
        <w:rPr>
          <w:rFonts w:ascii="Arial" w:cs="Arial" w:eastAsia="Arial" w:hAnsi="Arial"/>
          <w:b/>
          <w:bCs/>
          <w:i w:val="false"/>
          <w:iCs w:val="false"/>
          <w:color w:val="1A1A1A"/>
          <w:sz w:val="21"/>
          <w:szCs w:val="21"/>
        </w:rPr>
        <w:t xml:space="preserve">tatsächlich angefallenen Bankentgelte</w:t>
      </w:r>
      <w:r>
        <w:rPr>
          <w:rFonts w:ascii="Arial" w:cs="Arial" w:eastAsia="Arial" w:hAnsi="Arial"/>
          <w:b w:val="false"/>
          <w:bCs w:val="false"/>
          <w:i w:val="false"/>
          <w:iCs w:val="false"/>
          <w:color w:val="1A1A1A"/>
          <w:sz w:val="21"/>
          <w:szCs w:val="21"/>
        </w:rPr>
        <w:t xml:space="preserve"> der Rücklastschrift sowie eine </w:t>
      </w:r>
      <w:r>
        <w:rPr>
          <w:rFonts w:ascii="Arial" w:cs="Arial" w:eastAsia="Arial" w:hAnsi="Arial"/>
          <w:b/>
          <w:bCs/>
          <w:i w:val="false"/>
          <w:iCs w:val="false"/>
          <w:color w:val="1A1A1A"/>
          <w:sz w:val="21"/>
          <w:szCs w:val="21"/>
        </w:rPr>
        <w:t xml:space="preserve">angemessene Bearbeitungspauschale</w:t>
      </w:r>
      <w:r>
        <w:rPr>
          <w:rFonts w:ascii="Arial" w:cs="Arial" w:eastAsia="Arial" w:hAnsi="Arial"/>
          <w:b w:val="false"/>
          <w:bCs w:val="false"/>
          <w:i w:val="false"/>
          <w:iCs w:val="false"/>
          <w:color w:val="1A1A1A"/>
          <w:sz w:val="21"/>
          <w:szCs w:val="21"/>
        </w:rPr>
        <w:t xml:space="preserve"> für den entstandenen Verwaltungsaufwand. Dem Kunden bleibt der Nachweis vorbehalten, dass ein Schaden oder eine Wertminderung überhaupt nicht oder in wesentlich geringerer Höhe entstanden ist. Die Geltendmachung eines weitergehenden Schadens sowie etwaiger Verzugsansprüche durch NexAI bleibt unberührt.</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Erteilt der Kunde kein Firmenlastschriftmandat, ist ein solches unwirksam, wird es widerrufen oder scheitert der Einzug wiederholt aus vom Kunden zu vertretenden Gründen, so erfolgt die Zahlung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In diesem Fall sind die geschuldeten Beträge ohne Abzug so rechtzeitig auf das in der Rechnung angegebene Konto von NexAI zu überweisen, dass sie spätestens am </w:t>
      </w:r>
      <w:r>
        <w:rPr>
          <w:rFonts w:ascii="Arial" w:cs="Arial" w:eastAsia="Arial" w:hAnsi="Arial"/>
          <w:b/>
          <w:bCs/>
          <w:i w:val="false"/>
          <w:iCs w:val="false"/>
          <w:color w:val="1A1A1A"/>
          <w:sz w:val="21"/>
          <w:szCs w:val="21"/>
        </w:rPr>
        <w:t xml:space="preserve">dritten (3.) Werktag vor Fälligkeit</w:t>
      </w:r>
      <w:r>
        <w:rPr>
          <w:rFonts w:ascii="Arial" w:cs="Arial" w:eastAsia="Arial" w:hAnsi="Arial"/>
          <w:b w:val="false"/>
          <w:bCs w:val="false"/>
          <w:i w:val="false"/>
          <w:iCs w:val="false"/>
          <w:color w:val="1A1A1A"/>
          <w:sz w:val="21"/>
          <w:szCs w:val="21"/>
        </w:rPr>
        <w:t xml:space="preserve"> angewiesen sind und NexAI fristgerecht gutgeschrieben werden.</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meiner/unserer Unterschrift bestätige(n) ich/wir die Richtigkeit der vorstehenden Angaben, erteile(n) das SEPA-Firmenlastschriftmandat zugunsten von NexAI und erkenne(n) die vorstehenden Bedingungen an.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9406"/>
      </w:tblGrid>
      <w:tr>
        <w:tc>
          <w:tcPr>
            <w:tcW w:type="dxa" w:w="9406"/>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 (Zahler / Kontoinhaber)</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6B7280"/>
                <w:sz w:val="18"/>
                <w:szCs w:val="18"/>
              </w:rPr>
              <w:t xml:space="preserve">Name / Funktion</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Unterschrift und ggf. Firmenstempel</w:t>
            </w:r>
          </w:p>
        </w:tc>
      </w:tr>
    </w:tbl>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Hinweis: Zur Nutzung des SEPA-Firmenlastschriftverfahrens ist eine Gläubiger-Identifikationsnummer (Creditor Identifier) erforderlich. Diese ist bei der Deutschen Bundesbank zu beantragen und in Abschnitt 1 einzutragen.</w:t>
      </w:r>
    </w:p>
    <w:p>
      <w:pPr>
        <w:spacing w:after="140" w:before="80"/>
      </w:pPr>
      <w:r>
        <w:rPr>
          <w:rFonts w:ascii="Arial" w:cs="Arial" w:eastAsia="Arial" w:hAnsi="Arial"/>
          <w:b w:val="false"/>
          <w:bCs w:val="false"/>
          <w:i/>
          <w:iCs/>
          <w:color w:val="6B7280"/>
          <w:sz w:val="18"/>
          <w:szCs w:val="18"/>
        </w:rPr>
        <w:t xml:space="preserve">Dies ist ein sorgfältig erstellter Entwurf. Er ersetzt keine Rechtsberatung und sollte für den Einzelfall anwaltlich geprüft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Allgemeine Geschäftsbedingungen (AGB) –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der NexAI – Next Generation Artificial Intelligence GbR für Leistungen im Zusammenhang mit KI-Agenten und digitalen Assistenten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Diese Allgemeinen Geschäftsbedingungen (nachfolgend "AGB") gelten für sämtliche Geschäftsbeziehungen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(nachfolgend "NexAI"), und ihren Kunden (nachfolgend "Kunde") über die Bereitstellung, Einrichtung und den Betrieb von KI-Agenten und digitalen Assistenten (nachfolgend "Agenten") sowie damit verbundene 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AGB gelten ausschließlich gegenüber Unternehmern im Sinne des § 14 BGB, juristischen Personen des öffentlichen Rechts und öffentlich-rechtlichen Sondervermögen. Sie gelten nicht gegenüber Verbrauchern im Sinne des § 13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gelten die zwischen den Parteien getroffenen Vertragsdokumente in folgender Rangfolge; im Falle von Widersprüchen geht das jeweils höherrangige Dokument vor: (1.) das Auftragsformular/der Leistungsschein einschließlich individueller Abreden, (2.) der Rahmenvertrag nebst seinen Anlagen A (Leistungsbeschreibung), B (Auftragsverarbeitungsvertrag), C (SLA) und D (Abnahmeprotokoll), (3.) diese AGB. Individuelle Vereinbarungen (§ 305b BGB) haben in jedem Fall Vorrang vor diesen AGB.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Diese AGB gelten auch für alle künftigen Geschäfte mit dem Kunden derselben Art, ohne dass NexAI in jedem Einzelfall erneut auf sie hinweisen müsste.</w:t>
      </w:r>
    </w:p>
    <w:p>
      <w:pPr>
        <w:pStyle w:val="Heading2"/>
        <w:keepNext/>
        <w:spacing w:after="80" w:before="160"/>
      </w:pPr>
      <w:r>
        <w:rPr>
          <w:rFonts w:ascii="Arial" w:cs="Arial" w:eastAsia="Arial" w:hAnsi="Arial"/>
          <w:b/>
          <w:bCs/>
          <w:i w:val="false"/>
          <w:iCs w:val="false"/>
          <w:color w:val="0B0B0F"/>
          <w:sz w:val="21"/>
          <w:szCs w:val="21"/>
        </w:rPr>
        <w:t xml:space="preserve">Abwehr entgegenstehender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Entgegenstehende, abweichende oder ergänzende Allgemeine Geschäfts-, Einkaufs- oder sonstige Bedingungen des Kunden werden nicht Vertragsbestandteil, es sei denn, NexAI hat ihrer Geltung ausdrücklich in Textform zugestimmt.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gilt auch dann, wenn NexAI in Kenntnis entgegenstehender oder abweichender Bedingungen des Kunden die Leistung vorbehaltlos ausführt oder eine Zahlung des Kunden vorbehaltlos annimmt. Ein bloßes Schweigen oder die vorbehaltlose Leistungserbringung stellt keine Anerkennung solcher Bedingungen dar.</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und Umfang der von NexAI zu erbringenden Leistungen ergeben sich abschließend aus dem Auftragsformular/Leistungsschein und der Anlage A (Leistungsbeschreibung). NexAI stellt danach je nach Beauftragung Agenten bereit, insbesondere Voice Agents, Chat Agents, Social-Media-Agenten, Vertriebs-/Akquise-Agenten, Automatisierungen und individuelle KI-Agenten, richtet diese ein und/oder betreibt sie laufend.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von NexAI umfassen einmalige Werkleistungen wie die Erstellung von Websites und die Ersteinrichtung von Agenten (nachfolgend "Projektleistungen", Werkvertragsrecht) sowie den laufenden Betrieb, die Wartung, das Hosting und den Support der Agenten (nachfolgend "Betriebsleistungen", Dienstvertragsrecht). Die rechtliche Einordnung der jeweiligen Leistung richtet sich nach ihrem Schwerpunkt.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von NexAI bereitgestellten Agenten sind KI-gestützte, wahrscheinlichkeitsbasierte Systeme. Ihre Aufgabe besteht in der Kommunikation mit Personen, die mit den Agenten interagieren (nachfolgend "Endnutzer"), insbesondere in der Auskunftserteilung, Terminvereinbarung und Kontaktaufnahme. Die Agenten dürfen keine rechtsverbindlichen Erklärungen im Namen des Kunden abgeben, insbesondere keine verbindlichen Preiszusagen, Bestellungen oder Vertragsabschlüsse tätigen.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Kennzeichnung der Agenten als KI-System sowie die zugehörigen Transparenzhinweise gegenüber Endnutzern nach Art. 50 der Verordnung (EU) 2024/1689 (KI-Verordnung) sind verbindlicher und nicht abschaltbarer Bestandteil der Leistung.</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ist berechtigt, die Leistungen im Rahmen des vertraglich Vereinbarten fortzuentwickeln und technisch anzupassen, soweit dies dem technischen Fortschritt dient und die vereinbarte Funktionalität nicht wesentlich beeinträchtigt wird.</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Angebot und Vertragsschluss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Angebote von NexAI sind freibleibend und unverbindlich, sofern sie nicht ausdrücklich als verbindlich bezeichnet sind oder eine bestimmte Bindungsfrist enthalten.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Vertrag kommt zustande, wenn der Kunde das Auftragsformular/den Leistungsschein in Textform (§ 126b BGB) oder mittels elektronischer Signatur annimmt und NexAI die Annahme bestätigt oder mit der Leistungserbringung beginnt.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Nebenabreden, Änderungen und Ergänzungen des Vertrages bedürfen zu ihrer Wirksamkeit der Textform. Dies gilt auch für die Aufhebung dieses Textformerfordernisses.</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Preise und Zahlungsbedingungen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fällt keine Einrichtungs- oder Setup-Gebühr an. Für die Leistungen ist ausschließlich ein monatlicher oder – bei entsprechender Wahl – ein jährlicher Beitrag nach Maßgabe des Auftragsformulars zu entrichten.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Alle Preise verstehen sich netto in Euro zzgl. der jeweils geltenden gesetzlichen Umsatzsteuer. NexAI unterliegt der Regelbesteuerung. Bis zur Erteilung einer Umsatzsteuer-Identifikationsnummer wird auf den Rechnungen die Steuernummer ausgewiesen.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Nutzungskontingent enthalten (nachfolgend "Freikontingent"). Nutzung über das Freikontingent hinaus (nachfolgend "Mehrverbrauch" oder "Overage") wird zum im Auftragsformular vereinbarten Netto-Einheitspreis abgerechnet und zusammen mit dem Beitrag des Folgemonats in Rechnung gestellt. Auf Verlangen des Kunden stellt NexAI einen Einzelverbindungsnachweis zur Verfügung. Je Agent kann ein technisches Ausgaben-Limit (EUR-Spend-Cap) eingerichtet werden.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Rechnungen sind ohne Abzug innerhalb von 14 Tagen ab Zugang der Rechnung zur Zahlung fällig. Die Zahlung erfolgt wahlweise per SEPA-Firmenlastschrift (B2B-Firmenlastschriftmandat) oder per Überweisung nach Wahl des Kunden gemäß Auftragsformular.</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Gerät der Kunde in Zahlungsverzug, ist NexAI berechtigt, Verzugszinsen in Höhe von 9 Prozentpunkten über dem jeweiligen Basiszinssatz sowie eine Pauschale in Höhe von 40 EUR gemäß § 288 Abs. 2 und Abs. 5 BGB zu verlangen. Die Pauschale ist auf einen geschuldeten Schadensersatz anzurechnen, soweit der Schaden in Kosten der Rechtsverfolgung begründet ist. Die Geltendmachung eines weitergehenden Verzugsschadens bleibt vorbehalten.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Befindet sich der Kunde mit fälligen Zahlungen in Verzug, ist NexAI nach vorheriger Ankündigung in Textform und fruchtlosem Ablauf einer angemessenen Nachfrist berechtigt, die Betriebsleistungen ganz oder teilweise auszusetzen, bis sämtliche fälligen Beträge ausgeglichen sind. Der Zahlungsanspruch bleibt für die Dauer der Aussetzung bestehen.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Der Kunde kann nur mit unbestrittenen oder rechtskräftig festgestellten Forderungen aufrechnen. Ein Zurückbehaltungsrecht steht ihm nur wegen Gegenansprüchen aus demselben Vertragsverhältnis zu.</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Änderung von Preisen und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dem Kunden Änderungen der Preise und dieser AGB mit einer Ankündigungsfrist von 6 Wochen in Textform anzubieten. Die Ankündigung benennt die betroffenen Regelungen, den Umfang der Änderung und den vorgesehenen Zeitpunkt des Inkrafttretens und weist den Kunden gesondert auf sein Kündigungsrecht sowie auf die Rechtsfolgen nach Absatz 2 hin.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Zustimmung des Kunden wird nicht durch bloßes Schweigen fingiert; eine Zustimmungsfiktion findet nicht statt. Die angekündigten Änderungen werden nur wirksam, wenn der Kunde ihnen ausdrücklich in Textform zustimmt oder er die entgeltpflichtigen Leistungen nach Zugang der Ankündigung und nach dem gesonderten Hinweis nach Absatz 1 vorbehaltlos weiter in Anspruch nimmt; in der vorbehaltlosen Weiterinanspruchnahme liegt eine konkludente Zustimmung. Bis zum Wirksamwerden einer Änderung gelten die bisherigen Bedingungen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Kommt eine Einigung über die angekündigte Änderung nicht zustande oder widerspricht der Kunde ihr, so sind sowohl NexAI als auch der Kunde berechtigt, das Vertragsverhältnis nach den Regelungen des Rahmenvertrages mit Wirkung zum vorgesehenen Zeitpunkt des Inkrafttretens der Änderung ordentlich zu kündigen. Kündigt keine Partei, bleiben die bisherigen Bedingungen unverändert bestehen.</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Mitwirkungspflichten und Änderungswünsche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alle für die Leistungserbringung erforderlichen Informationen, Inhalte, Zugänge und Freigaben rechtzeitig, vollständig und in geeigneter Form zur Verfügung und benennt einen ansprechbaren Verantwortlichen. Die Mitwirkungshandlungen sind wesentliche Vertragspflichten.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Kommt der Kunde seinen Mitwirkungspflichten nicht rechtzeitig nach, verlängern sich vereinbarte Fristen angemessen. Mehraufwendungen, die NexAI hierdurch entstehen, sind vom Kunden nach Aufwand zu erstatten.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Änderungswünsche des Kunden, die über den vereinbarten Leistungsumfang hinausgehen, bedürfen einer gesonderten Vereinbarung und werden gesondert nach Aufwand vergütet, soweit nichts anderes vereinbart ist.</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Rechte an den von NexAI im Rahmen der Leistungserbringung entwickelten oder eingesetzten Systemen, Konfigurationen, Prompts, Skripten, Workflows und sonstigen Arbeitsergebnissen sowie an der zugrunde liegenden Software und Infrastruktur verbleiben bei NexAI bzw. den jeweiligen Rechteinhabern.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räumt dem Kunden für die Dauer des Vertrages ein einfaches, nicht ausschließliches, nicht übertragbares und zeitlich auf die Vertragslaufzeit befristetes Nutzungsrecht an den Agenten und den zu ihrer bestimmungsgemäßen Nutzung erforderlichen Arbeitsergebnissen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Mit Beendigung des Vertrages erlischt das Nutzungsrecht des Kunden, soweit im Rahmenvertrag oder im Auftragsformular nichts Abweichendes vereinbart ist. Vom Kunden beigestellte Inhalte und seine eigenen Geschäftsdaten bleiben von dieser Regelung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Accounts, Zugänge und die technische Infrastruktur zum Betrieb der Agenten stellt NexAI als eigene Betriebsmittel bereit; ein Herausgabeanspruch des Kunden hieran besteht nicht. Auf Wunsch des Kunden können abweichend hiervon kundeneigene Accounts verwendet werden.</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Drittanbieter und Subunternehmer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Zur Erbringung der Leistungen setzt NexAI Drittdienste und Unterauftragsverarbeiter ein (nachfolgend "Subunternehmer"), insbesondere Vapi, Twilio, Make, OpenAI, ElevenLabs, Google sowie Hosting-Anbieter. Der Kunde ist damit einverstanden.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der Subunternehmer unterliegen deren eigenen Nutzungs- und Verfügbarkeitsbedingungen. NexAI hat auf Verfügbarkeit, Leistungsumfang und Fortbestand dieser Dienste nur eingeschränkten Einfluss.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haftet für Handlungen oder Unterlassungen der Subunternehmer nur nach Maßgabe des § 11 (Haftung) und nur, soweit NexAI ein eigenes Verschulden, insbesondere bei Auswahl, Anweisung oder Überwachung, trifft. Ausfälle, Störungen, Preis- oder Leistungsänderungen von Subunternehmern, die NexAI nicht zu vertreten hat, begründen keinen Mangel und keine Haftung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Laufende Kosten für Drittdienste, die dem Kunden im Auftragsformular gesondert zugewiesen oder als durchlaufende Posten ausgewiesen sind, trägt der Kunde.</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KI-Systeme und Eigenverantwortung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KI-Modellen. Ihre Ausgaben können unvollständig, fehlerhaft oder unerwartet sein. NexAI übernimmt keine Gewähr für die inhaltliche Richtigkeit, Vollständigkeit oder Fehlerfreiheit der von den Agenten erzeugten Inhalte und Antworten.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keinen bestimmten wirtschaftlichen Erfolg. Insbesondere wird keine Garantie für eine bestimmte Anzahl von Leads, Terminen, Abschlüssen, Umsätzen oder Reaktionen von Endnutzern übernommen.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bleibt für die Nutzung der Agenten und der von ihnen erzeugten Inhalte im eigenen Verantwortungsbereich verantwortlich, insbesondere für deren rechtliche Zulässigkeit im konkreten Einsatzkontext. Der Kunde hat die Ergebnisse in geschäftskritischen Fällen zu überprüfen.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Aufzeichnung und Transkription von Gesprächen ist standardmäßig deaktiviert und wird nur auf dokumentierte Weisung des Kunden aktiviert. In diesem Fall erfolgt gegenüber Endnutzern stets eine Pflicht-Ansage mit KI-Hinweis und, soweit einschlägig, einem Aufzeichnungshinweis.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Im Sinne der KI-Verordnung ist NexAI Anbieter und der Kunde Betreiber der jeweiligen Agenten; die konkrete Zuordnung ergibt sich je Agent aus dem Auftragsformular.</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Verfügbarkeit, Wartung und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die Betriebsleistungen mit der Sorgfalt eines ordentlichen Kaufmanns als Bemühensschuld. Eine bestimmte Verfügbarkeit wird nur geschuldet, soweit sie in Anlage C (SLA) ausdrücklich vereinbart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Geplante Wartungs-, Aktualisierungs- und Instandhaltungsarbeiten, die NexAI nach Möglichkeit ankündigt und in nutzungsarme Zeiten legt, stellen keinen Mangel und keine Pflichtverletzung dar. Gleiches gilt für Beeinträchtigungen, die auf Störungen bei Subunternehmern oder auf höherer Gewalt beruhen.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Support wird nach Maßgabe des Vertrages und, soweit vereinbart, der Anlage C (SLA) erbracht.</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gespiegelt zum Rahmenvertrag, die folgende abgestufte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haftet unbeschränkt für Schäden aus der Verletzung des Lebens, des Körpers oder der Gesundheit, die auf einer Pflichtverletzung von NexAI, ihrer gesetzlichen Vertreter oder Erfüllungsgehilfen beruhen, sowie für Schäden, die auf Vorsatz oder grober Fahrlässigkeit von NexAI, ihrer gesetzlichen Vertreter oder Erfüllungsgehilfen beruhen. Ebenfalls unbeschränkt haftet NexAI, soweit eine Garantie übernommen wurde oder Ansprüche nach dem Produkthaftungsgesetz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der leicht fahrlässigen Verletzung einer wesentlichen Vertragspflicht (Kardinalpflicht), also einer Pflicht, deren Erfüllung die ordnungsgemäße Durchführung des Vertrages überhaupt erst ermöglicht und auf deren Einhaltung der Kunde regelmäßig vertrauen darf, ist die Haftung von NexAI auf den bei Vertragsschluss vorhersehbaren, vertragstypischen Schaden begrenzt, höchstens jedoch auf ____ EUR je Schadensfall.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Übrigen ist die Haftung von NexAI für leichte Fahrlässigkeit ausgeschlossen, insbesondere bei der Verletzung nicht wesentlicher Vertragspflichten.</w:t>
      </w:r>
    </w:p>
    <w:p>
      <w:pPr>
        <w:spacing w:after="120" w:line="276"/>
        <w:jc w:val="both"/>
      </w:pPr>
      <w:r>
        <w:rPr>
          <w:rFonts w:ascii="Arial" w:cs="Arial" w:eastAsia="Arial" w:hAnsi="Arial"/>
          <w:b w:val="false"/>
          <w:bCs w:val="false"/>
          <w:i w:val="false"/>
          <w:iCs w:val="false"/>
          <w:color w:val="1A1A1A"/>
          <w:sz w:val="21"/>
          <w:szCs w:val="21"/>
        </w:rPr>
        <w:t xml:space="preserve">Die vorstehenden Haftungsbeschränkungen gelten auch zugunsten der gesetzlichen Vertreter, Mitarbeiter und Erfüllungsgehilfen von NexAI. Eine Änderung der Beweislast zum Nachteil des Kunden ist mit den vorstehenden Regelungen nicht verbunden. Die einzelnen Absätze dieser Haftungsklausel sind je für sich wirksam; sollte eine Beschränkung unwirksam sein, bleiben die übrigen Beschränkungen davon unberührt (blue-pencil-fest).</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Datenschutz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beachten die jeweils geltenden datenschutzrechtlichen Bestimmungen. Soweit NexAI im Auftrag des Kunden personenbezogene Daten verarbeitet, gilt ergänzend die Anlage B (Auftragsverarbeitungsvertrag, AVV), die den Vorgaben des Art. 28 DSGVO entspricht.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Wo dies technisch abschaltbar ist, erfolgt keine Speicherung von Gesprächs- oder Interaktionsdaten. Ist eine Speicherung technisch nicht abschaltbar, werden die Daten für 6 Monate aufbewahrt und sodann gelöscht. Geschäftsdaten werden zusätzlich in den Systemen des Kunden geführt; diese sind das führende System.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Nach Vertragsende stellt NexAI dem Kunden die vorhandenen Daten innerhalb einer Frist von 30 Tagen zum Export bereit und löscht sie anschließend; über die Löschung erteilt NexAI auf Verlangen eine Löschbestätigung.</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Soweit NexAI im Rahmen von Vertriebs-/Akquise-Agenten selbst Kontakte recherchiert, hält NexAI die einschlägigen Vorgaben ein, insbesondere die Grenzen zulässiger B2B-Ansprache, die Informationspflichten nach Art. 14 DSGVO sowie die Dokumentation von Widersprüchen (Opt-out). Der Kunde sichert zu, dass die von ihm veranlassten Kampagnen rechtmäßig sind. NexAI ist berechtigt, die Durchführung erkennbar rechtswidriger Kampagnen abzulehnen.</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verpflichten sich, alle im Rahmen der Zusammenarbeit erlangten vertraulichen Informationen der jeweils anderen Partei geheim zu halten, nur für Zwecke des Vertrages zu verwenden und nicht an Dritte weiterzugeben. Als vertraulich gelten Informationen, die als solche gekennzeichnet sind oder deren Vertraulichkeit sich aus der Natur der Information oder den Umständen ergibt.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Ausgenommen sind Informationen, die allgemein bekannt sind oder ohne Verstoß gegen diese Vereinbarung bekannt werden, die der empfangenden Partei bereits vor der Mitteilung bekannt waren, die sie rechtmäßig von Dritten erhalten hat oder unabhängig entwickelt hat, oder deren Offenlegung aufgrund gesetzlicher oder behördlicher Anordnung erforderlich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Verpflichtung besteht für die Dauer des Vertrages und für einen Zeitraum von drei Jahren nach dessen Beendigung fort. Die Weitergabe an Subunternehmer im erforderlichen Umfang bleibt zulässig, sofern diese entsprechend zur Vertraulichkeit verpflichtet sind.</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Höhere Gewalt</w:t>
      </w:r>
    </w:p>
    <w:p>
      <w:pPr>
        <w:spacing w:after="120" w:line="276"/>
        <w:jc w:val="both"/>
      </w:pPr>
      <w:r>
        <w:rPr>
          <w:rFonts w:ascii="Arial" w:cs="Arial" w:eastAsia="Arial" w:hAnsi="Arial"/>
          <w:b w:val="false"/>
          <w:bCs w:val="false"/>
          <w:i w:val="false"/>
          <w:iCs w:val="false"/>
          <w:color w:val="1A1A1A"/>
          <w:sz w:val="21"/>
          <w:szCs w:val="21"/>
        </w:rPr>
        <w:t xml:space="preserve">Ereignisse höherer Gewalt, die NexAI die Leistungserbringung wesentlich erschweren oder vorübergehend unmöglich machen, befreien NexAI für die Dauer ihrer Auswirkungen von der Leistungspflicht. Als höhere Gewalt gelten insbesondere Naturkatastrophen, Epidemien und Pandemien, kriegerische Auseinandersetzungen, Terroranschläge, Arbeitskämpfe, behördliche Maßnahmen, großflächige Ausfälle von Telekommunikations- oder Energieinfrastruktur sowie schwerwiegende, nicht zu vertretende Störungen bei Subunternehmern. NexAI wird den Kunden über den Eintritt und die voraussichtliche Dauer unverzüglich informieren und sich um Abhilfe bemühen.</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Referenzen</w:t>
      </w:r>
    </w:p>
    <w:p>
      <w:pPr>
        <w:spacing w:after="120" w:line="276"/>
        <w:jc w:val="both"/>
      </w:pPr>
      <w:r>
        <w:rPr>
          <w:rFonts w:ascii="Arial" w:cs="Arial" w:eastAsia="Arial" w:hAnsi="Arial"/>
          <w:b w:val="false"/>
          <w:bCs w:val="false"/>
          <w:i w:val="false"/>
          <w:iCs w:val="false"/>
          <w:color w:val="1A1A1A"/>
          <w:sz w:val="21"/>
          <w:szCs w:val="21"/>
        </w:rPr>
        <w:t xml:space="preserve">NexAI ist berechtigt, den Kunden und die für ihn erbrachten Leistungen zu Referenzzwecken, insbesondere unter Nennung des Namens und des Logos des Kunden, nur mit vorheriger Zustimmung des Kunden in Textform zu benennen. Die Zustimmung kann für die Zukunft widerrufen werden.</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Erklärungen des Kunden, die das Vertragsverhältnis gestalten, insbesondere Kündigungen, Weisungen, Freigaben und Widersprüche, bedürfen zu ihrer Wirksamkeit mindestens der Textform (§ 126b BGB), soweit in den Vertragsdokumenten nichts Strengeres bestimmt ist.</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gilt das Recht der Bundesrepublik Deutschland unter Ausschluss des UN-Kaufrechts (CISG) und der Kollisionsnormen des internationalen Privatrechts.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Ausschließlicher Gerichtsstand für alle Streitigkeiten aus und im Zusammenhang mit dem Vertragsverhältnis ist, soweit der Kunde Kaufmann, juristische Person des öffentlichen Rechts oder öffentlich-rechtliches Sondervermögen ist, der Sitz von NexAI. NexAI ist daneben berechtigt, den Kunden an seinem allgemeinen Gerichtsstand zu verklagen.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Abtretung von Rechten und Pflichten des Kunden aus dem Vertrag bedarf der vorherigen Zustimmung von NexAI in Textform.</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Sollten einzelne Bestimmungen dieser AGB ganz oder teilweise unwirksam oder undurchführbar sein oder werden, so wird die Wirksamkeit der übrigen Bestimmungen hiervon nicht berührt. Anstelle der unwirksamen oder undurchführbaren Bestimmung tritt die gesetzliche Regelung. Das Gleiche gilt für den Fall einer Regelungslücke.</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Allgemeinen Geschäftsbedingungen stellen einen sorgfältig erstellten Entwurf dar und sollten vor Verwendung im Einzelfall anwaltlich geprüft werden.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 Vertragswerk</dc:title>
  <dc:creator>NexAI</dc:creator>
  <cp:lastModifiedBy>Un-named</cp:lastModifiedBy>
  <cp:revision>1</cp:revision>
  <dcterms:created xsi:type="dcterms:W3CDTF">2026-09-07T18:07:36.887Z</dcterms:created>
  <dcterms:modified xsi:type="dcterms:W3CDTF">2026-09-07T18:07:36.888Z</dcterms:modified>
</cp:coreProperties>
</file>

<file path=docProps/custom.xml><?xml version="1.0" encoding="utf-8"?>
<Properties xmlns="http://schemas.openxmlformats.org/officeDocument/2006/custom-properties" xmlns:vt="http://schemas.openxmlformats.org/officeDocument/2006/docPropsVTypes"/>
</file>