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der Mailagent im Entwurf keine Erklärung erkannt hat, mit der ein Vertrag geschlossen, geändert oder beendet, ein Anspruch anerkannt oder abgelehnt oder ein Antrag beschieden wird, die eingehende Nachricht nicht als Antwort auf eine selbsttätig versandte Antwort erkannt wurde und die Antwort nach den Freigaberegeln keine Freigabe durch zwei Personen erfordert. Die Erkennung arbeitet mit Merkmalen der Nachrichten; sie kann nicht jede solche Erklärung oder Antwort ausschließen.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2026-10-18T22:26:57.216Z</dcterms:created>
  <dcterms:modified xsi:type="dcterms:W3CDTF">2026-10-18T22:26:57.217Z</dcterms:modified>
</cp:coreProperties>
</file>

<file path=docProps/custom.xml><?xml version="1.0" encoding="utf-8"?>
<Properties xmlns="http://schemas.openxmlformats.org/officeDocument/2006/custom-properties" xmlns:vt="http://schemas.openxmlformats.org/officeDocument/2006/docPropsVTypes"/>
</file>