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und benennt eine Vertretung, die die Erstreaktion nach Ziffer 4 übernimmt. [Vertretung: von Max zu benennen.]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(Maximilian Trenk)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C – Service Level Agreement (SLA)</dc:title>
  <dc:creator>NexAI</dc:creator>
  <cp:lastModifiedBy>Un-named</cp:lastModifiedBy>
  <cp:revision>1</cp:revision>
  <dcterms:created xsi:type="dcterms:W3CDTF">2026-10-18T10:03:06.068Z</dcterms:created>
  <dcterms:modified xsi:type="dcterms:W3CDTF">2026-10-18T10:03:06.070Z</dcterms:modified>
</cp:coreProperties>
</file>

<file path=docProps/custom.xml><?xml version="1.0" encoding="utf-8"?>
<Properties xmlns="http://schemas.openxmlformats.org/officeDocument/2006/custom-properties" xmlns:vt="http://schemas.openxmlformats.org/officeDocument/2006/docPropsVTypes"/>
</file>