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Rahmen-Dienstleistungsvertrag für KI- und Automatisierungslösungen (B2B)</w:t>
      </w:r>
    </w:p>
    <w:p>
      <w:pPr>
        <w:pBdr>
          <w:bottom w:val="single" w:color="1F3A8A" w:sz="18" w:space="4"/>
        </w:pBdr>
        <w:spacing w:after="160"/>
      </w:pPr>
    </w:p>
    <w:p>
      <w:pPr>
        <w:spacing w:after="200"/>
      </w:pPr>
      <w:r>
        <w:rPr>
          <w:rFonts w:ascii="Arial" w:cs="Arial" w:eastAsia="Arial" w:hAnsi="Arial"/>
          <w:b w:val="false"/>
          <w:bCs w:val="false"/>
          <w:i w:val="false"/>
          <w:iCs w:val="false"/>
          <w:color w:val="6B7280"/>
          <w:sz w:val="18"/>
          <w:szCs w:val="18"/>
        </w:rPr>
        <w:t xml:space="preserve">Stand: Oktober 2026</w:t>
      </w:r>
    </w:p>
    <w:p>
      <w:pPr>
        <w:spacing w:after="120" w:line="276"/>
        <w:jc w:val="both"/>
      </w:pPr>
      <w:r>
        <w:rPr>
          <w:rFonts w:ascii="Arial" w:cs="Arial" w:eastAsia="Arial" w:hAnsi="Arial"/>
          <w:b w:val="false"/>
          <w:bCs w:val="false"/>
          <w:i w:val="false"/>
          <w:iCs w:val="false"/>
          <w:color w:val="1A1A1A"/>
          <w:sz w:val="21"/>
          <w:szCs w:val="21"/>
        </w:rPr>
        <w:t xml:space="preserve">Dieser Rahmen-Dienstleistungsvertrag (nachfolgend </w:t>
      </w:r>
      <w:r>
        <w:rPr>
          <w:rFonts w:ascii="Arial" w:cs="Arial" w:eastAsia="Arial" w:hAnsi="Arial"/>
          <w:b/>
          <w:bCs/>
          <w:i w:val="false"/>
          <w:iCs w:val="false"/>
          <w:color w:val="1A1A1A"/>
          <w:sz w:val="21"/>
          <w:szCs w:val="21"/>
        </w:rPr>
        <w:t xml:space="preserve">"Rahmenvertrag"</w:t>
      </w:r>
      <w:r>
        <w:rPr>
          <w:rFonts w:ascii="Arial" w:cs="Arial" w:eastAsia="Arial" w:hAnsi="Arial"/>
          <w:b w:val="false"/>
          <w:bCs w:val="false"/>
          <w:i w:val="false"/>
          <w:iCs w:val="false"/>
          <w:color w:val="1A1A1A"/>
          <w:sz w:val="21"/>
          <w:szCs w:val="21"/>
        </w:rPr>
        <w:t xml:space="preserve">) wird geschlossen zwischen den nachstehenden Parteien:</w:t>
      </w:r>
    </w:p>
    <w:p>
      <w:pPr>
        <w:pStyle w:val="Heading2"/>
        <w:keepNext/>
        <w:spacing w:after="80" w:before="160"/>
      </w:pPr>
      <w:r>
        <w:rPr>
          <w:rFonts w:ascii="Arial" w:cs="Arial" w:eastAsia="Arial" w:hAnsi="Arial"/>
          <w:b/>
          <w:bCs/>
          <w:i w:val="false"/>
          <w:iCs w:val="false"/>
          <w:color w:val="0B0B0F"/>
          <w:sz w:val="21"/>
          <w:szCs w:val="21"/>
        </w:rPr>
        <w:t xml:space="preserve">Anbieter</w:t>
      </w:r>
    </w:p>
    <w:p>
      <w:pPr>
        <w:spacing w:after="120" w:line="276"/>
        <w:jc w:val="both"/>
      </w:pP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jeder allein (§ 720 Abs. 2 BGB), oder durch eine bevollmächtigte Person (Ziffer 16 des Leistungsscheins), E-Mail mbt@nex-a-i.com, Telefon 0176 80714816 — nachfolgend </w:t>
      </w:r>
      <w:r>
        <w:rPr>
          <w:rFonts w:ascii="Arial" w:cs="Arial" w:eastAsia="Arial" w:hAnsi="Arial"/>
          <w:b/>
          <w:bCs/>
          <w:i w:val="false"/>
          <w:iCs w:val="false"/>
          <w:color w:val="1A1A1A"/>
          <w:sz w:val="21"/>
          <w:szCs w:val="21"/>
        </w:rPr>
        <w:t xml:space="preserve">"NexAI"</w:t>
      </w:r>
      <w:r>
        <w:rPr>
          <w:rFonts w:ascii="Arial" w:cs="Arial" w:eastAsia="Arial" w:hAnsi="Arial"/>
          <w:b w:val="false"/>
          <w:bCs w:val="false"/>
          <w:i w:val="false"/>
          <w:iCs w:val="false"/>
          <w:color w:val="1A1A1A"/>
          <w:sz w:val="21"/>
          <w:szCs w:val="21"/>
        </w:rPr>
        <w:t xml:space="preserve">.</w:t>
      </w:r>
    </w:p>
    <w:p>
      <w:pPr>
        <w:pStyle w:val="Heading2"/>
        <w:keepNext/>
        <w:spacing w:after="80" w:before="160"/>
      </w:pPr>
      <w:r>
        <w:rPr>
          <w:rFonts w:ascii="Arial" w:cs="Arial" w:eastAsia="Arial" w:hAnsi="Arial"/>
          <w:b/>
          <w:bCs/>
          <w:i w:val="false"/>
          <w:iCs w:val="false"/>
          <w:color w:val="0B0B0F"/>
          <w:sz w:val="21"/>
          <w:szCs w:val="21"/>
        </w:rPr>
        <w:t xml:space="preserve">Kunde</w:t>
      </w:r>
    </w:p>
    <w:p>
      <w:pPr>
        <w:spacing w:after="120"/>
      </w:pPr>
      <w:r>
        <w:rPr>
          <w:rFonts w:ascii="Arial" w:cs="Arial" w:eastAsia="Arial" w:hAnsi="Arial"/>
          <w:b/>
          <w:bCs/>
          <w:color w:val="1A1A1A"/>
          <w:sz w:val="21"/>
          <w:szCs w:val="21"/>
        </w:rPr>
        <w:t xml:space="preserve">Firma / Rechtsform: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(Straße, PLZ, Ort):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Vertretungsberechtigte Person: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Ansprechpartner: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E-Mail: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Telefon: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Registergericht / HRB-Nr. (soweit vorhanden):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USt-IdNr. / Steuernummer: </w:t>
      </w:r>
      <w:r>
        <w:rPr>
          <w:rFonts w:ascii="Arial" w:cs="Arial" w:eastAsia="Arial" w:hAnsi="Arial"/>
          <w:color w:val="6B7280"/>
          <w:sz w:val="21"/>
          <w:szCs w:val="21"/>
          <w:u w:val="single"/>
        </w:rPr>
        <w:t xml:space="preserve">                                                </w:t>
      </w:r>
    </w:p>
    <w:p>
      <w:pPr>
        <w:spacing w:after="120" w:line="276"/>
        <w:jc w:val="both"/>
      </w:pPr>
      <w:r>
        <w:rPr>
          <w:rFonts w:ascii="Arial" w:cs="Arial" w:eastAsia="Arial" w:hAnsi="Arial"/>
          <w:b w:val="false"/>
          <w:bCs w:val="false"/>
          <w:i w:val="false"/>
          <w:iCs w:val="false"/>
          <w:color w:val="1A1A1A"/>
          <w:sz w:val="21"/>
          <w:szCs w:val="21"/>
        </w:rPr>
        <w:t xml:space="preserve">— nachfolgend </w:t>
      </w:r>
      <w:r>
        <w:rPr>
          <w:rFonts w:ascii="Arial" w:cs="Arial" w:eastAsia="Arial" w:hAnsi="Arial"/>
          <w:b/>
          <w:bCs/>
          <w:i w:val="false"/>
          <w:iCs w:val="false"/>
          <w:color w:val="1A1A1A"/>
          <w:sz w:val="21"/>
          <w:szCs w:val="21"/>
        </w:rPr>
        <w:t xml:space="preserve">"Kunde"</w:t>
      </w:r>
      <w:r>
        <w:rPr>
          <w:rFonts w:ascii="Arial" w:cs="Arial" w:eastAsia="Arial" w:hAnsi="Arial"/>
          <w:b w:val="false"/>
          <w:bCs w:val="false"/>
          <w:i w:val="false"/>
          <w:iCs w:val="false"/>
          <w:color w:val="1A1A1A"/>
          <w:sz w:val="21"/>
          <w:szCs w:val="21"/>
        </w:rPr>
        <w:t xml:space="preserve"> —</w:t>
      </w:r>
    </w:p>
    <w:p>
      <w:pPr>
        <w:spacing w:after="120" w:line="276"/>
        <w:jc w:val="both"/>
      </w:pPr>
      <w:r>
        <w:rPr>
          <w:rFonts w:ascii="Arial" w:cs="Arial" w:eastAsia="Arial" w:hAnsi="Arial"/>
          <w:b w:val="false"/>
          <w:bCs w:val="false"/>
          <w:i w:val="false"/>
          <w:iCs w:val="false"/>
          <w:color w:val="1A1A1A"/>
          <w:sz w:val="21"/>
          <w:szCs w:val="21"/>
        </w:rPr>
        <w:t xml:space="preserve">NexAI und der Kunde nachfolgend jeweils einzeln </w:t>
      </w:r>
      <w:r>
        <w:rPr>
          <w:rFonts w:ascii="Arial" w:cs="Arial" w:eastAsia="Arial" w:hAnsi="Arial"/>
          <w:b/>
          <w:bCs/>
          <w:i w:val="false"/>
          <w:iCs w:val="false"/>
          <w:color w:val="1A1A1A"/>
          <w:sz w:val="21"/>
          <w:szCs w:val="21"/>
        </w:rPr>
        <w:t xml:space="preserve">"Partei"</w:t>
      </w:r>
      <w:r>
        <w:rPr>
          <w:rFonts w:ascii="Arial" w:cs="Arial" w:eastAsia="Arial" w:hAnsi="Arial"/>
          <w:b w:val="false"/>
          <w:bCs w:val="false"/>
          <w:i w:val="false"/>
          <w:iCs w:val="false"/>
          <w:color w:val="1A1A1A"/>
          <w:sz w:val="21"/>
          <w:szCs w:val="21"/>
        </w:rPr>
        <w:t xml:space="preserve"> und gemeinsam </w:t>
      </w:r>
      <w:r>
        <w:rPr>
          <w:rFonts w:ascii="Arial" w:cs="Arial" w:eastAsia="Arial" w:hAnsi="Arial"/>
          <w:b/>
          <w:bCs/>
          <w:i w:val="false"/>
          <w:iCs w:val="false"/>
          <w:color w:val="1A1A1A"/>
          <w:sz w:val="21"/>
          <w:szCs w:val="21"/>
        </w:rPr>
        <w:t xml:space="preserve">"Parteien"</w:t>
      </w:r>
      <w:r>
        <w:rPr>
          <w:rFonts w:ascii="Arial" w:cs="Arial" w:eastAsia="Arial" w:hAnsi="Arial"/>
          <w:b w:val="false"/>
          <w:bCs w:val="false"/>
          <w:i w:val="false"/>
          <w:iCs w:val="false"/>
          <w:color w:val="1A1A1A"/>
          <w:sz w:val="21"/>
          <w:szCs w:val="21"/>
        </w:rPr>
        <w:t xml:space="preserve">.</w:t>
      </w:r>
    </w:p>
    <w:p>
      <w:pPr>
        <w:spacing w:after="140" w:before="80"/>
      </w:pPr>
      <w:r>
        <w:rPr>
          <w:rFonts w:ascii="Arial" w:cs="Arial" w:eastAsia="Arial" w:hAnsi="Arial"/>
          <w:b w:val="false"/>
          <w:bCs w:val="false"/>
          <w:i/>
          <w:iCs/>
          <w:color w:val="6B7280"/>
          <w:sz w:val="18"/>
          <w:szCs w:val="18"/>
        </w:rPr>
        <w:t xml:space="preserve">Dieser Rahmenvertrag regelt die allgemeinen Bedingungen der Zusammenarbeit. Die konkreten Leistungen, Beiträge und Parameter werden im jeweiligen Auftragsformular / Leistungsschein und den Anlagen A–E festgelegt.</w:t>
      </w:r>
    </w:p>
    <w:p>
      <w:pPr>
        <w:pBdr>
          <w:bottom w:val="single" w:color="D1D5DB" w:sz="6" w:space="2"/>
        </w:pBdr>
        <w:spacing w:after="120"/>
      </w:pPr>
    </w:p>
    <w:p>
      <w:pPr>
        <w:pStyle w:val="Heading1"/>
        <w:keepNext/>
        <w:spacing w:after="100" w:before="260"/>
      </w:pPr>
      <w:r>
        <w:rPr>
          <w:rFonts w:ascii="Arial" w:cs="Arial" w:eastAsia="Arial" w:hAnsi="Arial"/>
          <w:b/>
          <w:bCs/>
          <w:color w:val="1F3A8A"/>
          <w:sz w:val="24"/>
          <w:szCs w:val="24"/>
        </w:rPr>
        <w:t xml:space="preserve">§ 1  </w:t>
      </w:r>
      <w:r>
        <w:rPr>
          <w:rFonts w:ascii="Arial" w:cs="Arial" w:eastAsia="Arial" w:hAnsi="Arial"/>
          <w:b/>
          <w:bCs/>
          <w:i w:val="false"/>
          <w:iCs w:val="false"/>
          <w:color w:val="0B0B0F"/>
          <w:sz w:val="24"/>
          <w:szCs w:val="24"/>
        </w:rPr>
        <w:t xml:space="preserve">Vertragsgegenstand, Vertragsdokumente und Rangfolge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erbringt für den Kunden Leistungen im Bereich KI-gestützter Assistenzsysteme, Softwareanwendungen und Automatisierung. Gegenstand sind (a) die Bereitstellung, Einrichtung und der Betrieb von KI-Agenten / digitalen Assistenten (Voice Agent, Chat Agent, Automatisierungen, individuelle KI-Agenten — nachfolgend </w:t>
      </w:r>
      <w:r>
        <w:rPr>
          <w:rFonts w:ascii="Arial" w:cs="Arial" w:eastAsia="Arial" w:hAnsi="Arial"/>
          <w:b/>
          <w:bCs/>
          <w:i w:val="false"/>
          <w:iCs w:val="false"/>
          <w:color w:val="1A1A1A"/>
          <w:sz w:val="21"/>
          <w:szCs w:val="21"/>
        </w:rPr>
        <w:t xml:space="preserve">"Agenten"</w:t>
      </w:r>
      <w:r>
        <w:rPr>
          <w:rFonts w:ascii="Arial" w:cs="Arial" w:eastAsia="Arial" w:hAnsi="Arial"/>
          <w:b w:val="false"/>
          <w:bCs w:val="false"/>
          <w:i w:val="false"/>
          <w:iCs w:val="false"/>
          <w:color w:val="1A1A1A"/>
          <w:sz w:val="21"/>
          <w:szCs w:val="21"/>
        </w:rPr>
        <w:t xml:space="preserve">) sowie (b) die Bereitstellung, Einrichtung und der Betrieb von Softwareanwendungen (NexAI CRM, NexAI Kalender, NexAI Mailagent, individuelle Anwendungen einschließlich installierbarer Web-Apps — nachfolgend </w:t>
      </w:r>
      <w:r>
        <w:rPr>
          <w:rFonts w:ascii="Arial" w:cs="Arial" w:eastAsia="Arial" w:hAnsi="Arial"/>
          <w:b/>
          <w:bCs/>
          <w:i w:val="false"/>
          <w:iCs w:val="false"/>
          <w:color w:val="1A1A1A"/>
          <w:sz w:val="21"/>
          <w:szCs w:val="21"/>
        </w:rPr>
        <w:t xml:space="preserve">"Anwendungen"</w:t>
      </w:r>
      <w:r>
        <w:rPr>
          <w:rFonts w:ascii="Arial" w:cs="Arial" w:eastAsia="Arial" w:hAnsi="Arial"/>
          <w:b w:val="false"/>
          <w:bCs w:val="false"/>
          <w:i w:val="false"/>
          <w:iCs w:val="false"/>
          <w:color w:val="1A1A1A"/>
          <w:sz w:val="21"/>
          <w:szCs w:val="21"/>
        </w:rPr>
        <w:t xml:space="preserve">). Anwendungen betreibt entweder NexAI für den Kunden (Betrieb durch NexAI), oder NexAI überlässt sie dem Kunden als Kauflizenz zum Betrieb auf dessen eigener Infrastruktur; für Kauflizenzen und für individuell entwickelte Anwendungen zum Festpreis gilt ergänzend </w:t>
      </w:r>
      <w:r>
        <w:rPr>
          <w:rFonts w:ascii="Arial" w:cs="Arial" w:eastAsia="Arial" w:hAnsi="Arial"/>
          <w:b/>
          <w:bCs/>
          <w:i w:val="false"/>
          <w:iCs w:val="false"/>
          <w:color w:val="1A1A1A"/>
          <w:sz w:val="21"/>
          <w:szCs w:val="21"/>
        </w:rPr>
        <w:t xml:space="preserve">Anlage E (Kauflizenz und Projektanwendungen)</w:t>
      </w:r>
      <w:r>
        <w:rPr>
          <w:rFonts w:ascii="Arial" w:cs="Arial" w:eastAsia="Arial" w:hAnsi="Arial"/>
          <w:b w:val="false"/>
          <w:bCs w:val="false"/>
          <w:i w:val="false"/>
          <w:iCs w:val="false"/>
          <w:color w:val="1A1A1A"/>
          <w:sz w:val="21"/>
          <w:szCs w:val="21"/>
        </w:rPr>
        <w:t xml:space="preserve">. Personen, die mit den Agenten oder Anwendungen interagieren (z. B. Anrufer, Chat-Kontakte, buchende Personen, Absender und Empfänger von Nachrichten, Nutzer eines Kundenportals), sind nachfolgend </w:t>
      </w:r>
      <w:r>
        <w:rPr>
          <w:rFonts w:ascii="Arial" w:cs="Arial" w:eastAsia="Arial" w:hAnsi="Arial"/>
          <w:b/>
          <w:bCs/>
          <w:i w:val="false"/>
          <w:iCs w:val="false"/>
          <w:color w:val="1A1A1A"/>
          <w:sz w:val="21"/>
          <w:szCs w:val="21"/>
        </w:rPr>
        <w:t xml:space="preserve">"Endnutzer"</w:t>
      </w:r>
      <w:r>
        <w:rPr>
          <w:rFonts w:ascii="Arial" w:cs="Arial" w:eastAsia="Arial" w:hAnsi="Arial"/>
          <w:b w:val="false"/>
          <w:bCs w:val="false"/>
          <w:i w:val="false"/>
          <w:iCs w:val="false"/>
          <w:color w:val="1A1A1A"/>
          <w:sz w:val="21"/>
          <w:szCs w:val="21"/>
        </w:rPr>
        <w:t xml:space="preserve">. Für Anwendungen mit KI-Funktionen, insbesondere den NexAI Mailagent, gelten §§ 4 und 6 entsprechend.</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konkreten Leistungen ergeben sich aus dem jeweils gesondert vereinbarten </w:t>
      </w:r>
      <w:r>
        <w:rPr>
          <w:rFonts w:ascii="Arial" w:cs="Arial" w:eastAsia="Arial" w:hAnsi="Arial"/>
          <w:b/>
          <w:bCs/>
          <w:i w:val="false"/>
          <w:iCs w:val="false"/>
          <w:color w:val="1A1A1A"/>
          <w:sz w:val="21"/>
          <w:szCs w:val="21"/>
        </w:rPr>
        <w:t xml:space="preserve">Auftragsformular / Leistungsschein</w:t>
      </w:r>
      <w:r>
        <w:rPr>
          <w:rFonts w:ascii="Arial" w:cs="Arial" w:eastAsia="Arial" w:hAnsi="Arial"/>
          <w:b w:val="false"/>
          <w:bCs w:val="false"/>
          <w:i w:val="false"/>
          <w:iCs w:val="false"/>
          <w:color w:val="1A1A1A"/>
          <w:sz w:val="21"/>
          <w:szCs w:val="21"/>
        </w:rPr>
        <w:t xml:space="preserve">. Jeder erteilte Auftrag begründet einen Einzelvertrag, auf den dieser Rahmenvertrag und die jeweils in Bezug genommenen Anlagen Anwendung finden.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Vertragsbestandteile (nachfolgend </w:t>
      </w:r>
      <w:r>
        <w:rPr>
          <w:rFonts w:ascii="Arial" w:cs="Arial" w:eastAsia="Arial" w:hAnsi="Arial"/>
          <w:b/>
          <w:bCs/>
          <w:i w:val="false"/>
          <w:iCs w:val="false"/>
          <w:color w:val="1A1A1A"/>
          <w:sz w:val="21"/>
          <w:szCs w:val="21"/>
        </w:rPr>
        <w:t xml:space="preserve">"Vertragsdokumente"</w:t>
      </w:r>
      <w:r>
        <w:rPr>
          <w:rFonts w:ascii="Arial" w:cs="Arial" w:eastAsia="Arial" w:hAnsi="Arial"/>
          <w:b w:val="false"/>
          <w:bCs w:val="false"/>
          <w:i w:val="false"/>
          <w:iCs w:val="false"/>
          <w:color w:val="1A1A1A"/>
          <w:sz w:val="21"/>
          <w:szCs w:val="21"/>
        </w:rPr>
        <w:t xml:space="preserve">) sind, soweit im Auftragsformular in Bezug genommen: dieses Auftragsformular / der Leistungsschein, dieser Rahmenvertrag, Anlage A (Leistungsbeschreibung), Anlage B (Auftragsverarbeitungsvertrag – AVV), Anlage C (Service Level Agreement – SLA), Anlage D (Abnahmeprotokoll), Anlage E (Kauflizenz und Projektanwendungen), das SEPA-Firmenlastschriftmandat sowie die Allgemeinen Geschäftsbedingungen (AGB, B2B).</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Bei Widersprüchen zwischen den Vertragsdokumenten gilt vorbehaltlich Absatz (5) und (6) folgende </w:t>
      </w:r>
      <w:r>
        <w:rPr>
          <w:rFonts w:ascii="Arial" w:cs="Arial" w:eastAsia="Arial" w:hAnsi="Arial"/>
          <w:b/>
          <w:bCs/>
          <w:i w:val="false"/>
          <w:iCs w:val="false"/>
          <w:color w:val="1A1A1A"/>
          <w:sz w:val="21"/>
          <w:szCs w:val="21"/>
        </w:rPr>
        <w:t xml:space="preserve">Rangfolge</w:t>
      </w:r>
      <w:r>
        <w:rPr>
          <w:rFonts w:ascii="Arial" w:cs="Arial" w:eastAsia="Arial" w:hAnsi="Arial"/>
          <w:b w:val="false"/>
          <w:bCs w:val="false"/>
          <w:i w:val="false"/>
          <w:iCs w:val="false"/>
          <w:color w:val="1A1A1A"/>
          <w:sz w:val="21"/>
          <w:szCs w:val="21"/>
        </w:rPr>
        <w:t xml:space="preserve"> (der jeweils vorrangige geht dem nachrangigen vor): (a) Auftragsformular / Leistungsschein, (b) dieser Rahmenvertrag, (c) Anlage E (Kauflizenz und Projektanwendungen), (d) Anlage C (SLA), (e) Anlage A (Leistungsbeschreibung), (f) Anlage D (Abnahmeprotokoll), (g) AGB (B2B). Soweit dieser Rahmenvertrag ausdrücklich auf eine abweichende Regelung in einer Anlage verweist, gilt die Anlage.</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Abweichend von der Rangfolge nach Absatz (4) hat </w:t>
      </w:r>
      <w:r>
        <w:rPr>
          <w:rFonts w:ascii="Arial" w:cs="Arial" w:eastAsia="Arial" w:hAnsi="Arial"/>
          <w:b/>
          <w:bCs/>
          <w:i w:val="false"/>
          <w:iCs w:val="false"/>
          <w:color w:val="1A1A1A"/>
          <w:sz w:val="21"/>
          <w:szCs w:val="21"/>
        </w:rPr>
        <w:t xml:space="preserve">Anlage B (AVV) Sachvorrang für sämtliche Fragen des Datenschutzes und der Auftragsverarbeitung</w:t>
      </w:r>
      <w:r>
        <w:rPr>
          <w:rFonts w:ascii="Arial" w:cs="Arial" w:eastAsia="Arial" w:hAnsi="Arial"/>
          <w:b w:val="false"/>
          <w:bCs w:val="false"/>
          <w:i w:val="false"/>
          <w:iCs w:val="false"/>
          <w:color w:val="1A1A1A"/>
          <w:sz w:val="21"/>
          <w:szCs w:val="21"/>
        </w:rPr>
        <w:t xml:space="preserve">; insoweit gehen die Regelungen der Anlage B allen übrigen Vertragsdokumenten vor.</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Individuell zwischen den Parteien ausgehandelte Abreden haben stets Vorrang vor entgegenstehenden Regelungen dieses Rahmenvertrags und der Anlagen (§ 305b BGB).</w:t>
      </w:r>
    </w:p>
    <w:p>
      <w:pPr>
        <w:pStyle w:val="Heading1"/>
        <w:keepNext/>
        <w:spacing w:after="100" w:before="260"/>
      </w:pPr>
      <w:r>
        <w:rPr>
          <w:rFonts w:ascii="Arial" w:cs="Arial" w:eastAsia="Arial" w:hAnsi="Arial"/>
          <w:b/>
          <w:bCs/>
          <w:color w:val="1F3A8A"/>
          <w:sz w:val="24"/>
          <w:szCs w:val="24"/>
        </w:rPr>
        <w:t xml:space="preserve">§ 2  </w:t>
      </w:r>
      <w:r>
        <w:rPr>
          <w:rFonts w:ascii="Arial" w:cs="Arial" w:eastAsia="Arial" w:hAnsi="Arial"/>
          <w:b/>
          <w:bCs/>
          <w:i w:val="false"/>
          <w:iCs w:val="false"/>
          <w:color w:val="0B0B0F"/>
          <w:sz w:val="24"/>
          <w:szCs w:val="24"/>
        </w:rPr>
        <w:t xml:space="preserve">Vertragsschluss und Nachweis</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Verträge kommen durch Unterzeichnung des Auftragsformulars durch beide Parteien oder durch übereinstimmende Erklärungen in Textform (§ 126b BGB) zustande. Eine qualifizierte oder fortgeschrittene elektronische Signatur im Sinne der eIDAS-Verordnung (VO (EU) Nr. 910/2014) steht der Textform gleich. Ebenso genügt die Unterzeichnung über die Anwendung NexSign (elektronische Signatur mit Protokollseite und Siegel). Für die Unterschrift für NexAI durch bevollmächtigte Personen gilt der Hinweis zur Unterschrift in Ziffer 16 des Leistungsscheins.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Erklärungen, Freigaben und Weisungen des Kunden im laufenden Betrieb (insbesondere nach § 5, § 6 Abs. (2) und § 7 Abs. (4)) können in Textform, per E-Mail oder über ein von NexAI bereitgestelltes Ticket-/Freigabesystem oder über die Einstellungen einer Anwendung erfolgen, soweit die Anwendung dies vorsieht.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dokumentiert wesentliche vertragsrelevante Erklärungen, Freigaben und Weisungen des Kunden revisionssicher und stellt dem Kunden auf Verlangen einen Auszug zur Verfügung.</w:t>
      </w:r>
    </w:p>
    <w:p>
      <w:pPr>
        <w:pStyle w:val="Heading1"/>
        <w:keepNext/>
        <w:spacing w:after="100" w:before="260"/>
      </w:pPr>
      <w:r>
        <w:rPr>
          <w:rFonts w:ascii="Arial" w:cs="Arial" w:eastAsia="Arial" w:hAnsi="Arial"/>
          <w:b/>
          <w:bCs/>
          <w:color w:val="1F3A8A"/>
          <w:sz w:val="24"/>
          <w:szCs w:val="24"/>
        </w:rPr>
        <w:t xml:space="preserve">§ 3  </w:t>
      </w:r>
      <w:r>
        <w:rPr>
          <w:rFonts w:ascii="Arial" w:cs="Arial" w:eastAsia="Arial" w:hAnsi="Arial"/>
          <w:b/>
          <w:bCs/>
          <w:i w:val="false"/>
          <w:iCs w:val="false"/>
          <w:color w:val="0B0B0F"/>
          <w:sz w:val="24"/>
          <w:szCs w:val="24"/>
        </w:rPr>
        <w:t xml:space="preserve">Leistungen: Projekt- und Betriebsleistungen</w:t>
      </w:r>
    </w:p>
    <w:p>
      <w:pPr>
        <w:pStyle w:val="Heading2"/>
        <w:keepNext/>
        <w:spacing w:after="80" w:before="160"/>
      </w:pPr>
      <w:r>
        <w:rPr>
          <w:rFonts w:ascii="Arial" w:cs="Arial" w:eastAsia="Arial" w:hAnsi="Arial"/>
          <w:b/>
          <w:bCs/>
          <w:i w:val="false"/>
          <w:iCs w:val="false"/>
          <w:color w:val="0B0B0F"/>
          <w:sz w:val="21"/>
          <w:szCs w:val="21"/>
        </w:rPr>
        <w:t xml:space="preserve">(1) Projektleistungen (Werkvertrag)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Einmalige Werkleistungen — insbesondere die Ersteinrichtung und Konfiguration von Agenten sowie die Einrichtung und Bereitstellung von Anwendungen (nachfolgend </w:t>
      </w:r>
      <w:r>
        <w:rPr>
          <w:rFonts w:ascii="Arial" w:cs="Arial" w:eastAsia="Arial" w:hAnsi="Arial"/>
          <w:b/>
          <w:bCs/>
          <w:i w:val="false"/>
          <w:iCs w:val="false"/>
          <w:color w:val="1A1A1A"/>
          <w:sz w:val="21"/>
          <w:szCs w:val="21"/>
        </w:rPr>
        <w:t xml:space="preserve">"Projektleistungen"</w:t>
      </w:r>
      <w:r>
        <w:rPr>
          <w:rFonts w:ascii="Arial" w:cs="Arial" w:eastAsia="Arial" w:hAnsi="Arial"/>
          <w:b w:val="false"/>
          <w:bCs w:val="false"/>
          <w:i w:val="false"/>
          <w:iCs w:val="false"/>
          <w:color w:val="1A1A1A"/>
          <w:sz w:val="21"/>
          <w:szCs w:val="21"/>
        </w:rPr>
        <w:t xml:space="preserve">) — richten sich nach Werkvertragsrecht (§§ 631 ff. BGB). Geschuldet ist die Herbeiführung des im Auftragsformular / in Anlage A beschriebenen Erfolgs.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Projektleistungen werden nach Fertigstellung nach </w:t>
      </w:r>
      <w:r>
        <w:rPr>
          <w:rFonts w:ascii="Arial" w:cs="Arial" w:eastAsia="Arial" w:hAnsi="Arial"/>
          <w:b/>
          <w:bCs/>
          <w:i w:val="false"/>
          <w:iCs w:val="false"/>
          <w:color w:val="1A1A1A"/>
          <w:sz w:val="21"/>
          <w:szCs w:val="21"/>
        </w:rPr>
        <w:t xml:space="preserve">Anlage D (Abnahmeprotokoll)</w:t>
      </w:r>
      <w:r>
        <w:rPr>
          <w:rFonts w:ascii="Arial" w:cs="Arial" w:eastAsia="Arial" w:hAnsi="Arial"/>
          <w:b w:val="false"/>
          <w:bCs w:val="false"/>
          <w:i w:val="false"/>
          <w:iCs w:val="false"/>
          <w:color w:val="1A1A1A"/>
          <w:sz w:val="21"/>
          <w:szCs w:val="21"/>
        </w:rPr>
        <w:t xml:space="preserve"> abgenommen. Zeigt NexAI die Fertigstellung in Textform an und verweigert der Kunde die Abnahme nicht binnen </w:t>
      </w:r>
      <w:r>
        <w:rPr>
          <w:rFonts w:ascii="Arial" w:cs="Arial" w:eastAsia="Arial" w:hAnsi="Arial"/>
          <w:b/>
          <w:bCs/>
          <w:i w:val="false"/>
          <w:iCs w:val="false"/>
          <w:color w:val="1A1A1A"/>
          <w:sz w:val="21"/>
          <w:szCs w:val="21"/>
        </w:rPr>
        <w:t xml:space="preserve">zehn (10) Werktagen</w:t>
      </w:r>
      <w:r>
        <w:rPr>
          <w:rFonts w:ascii="Arial" w:cs="Arial" w:eastAsia="Arial" w:hAnsi="Arial"/>
          <w:b w:val="false"/>
          <w:bCs w:val="false"/>
          <w:i w:val="false"/>
          <w:iCs w:val="false"/>
          <w:color w:val="1A1A1A"/>
          <w:sz w:val="21"/>
          <w:szCs w:val="21"/>
        </w:rPr>
        <w:t xml:space="preserve"> unter Angabe mindestens eines Mangels, gilt die Leistung als abgenommen. Gleiches gilt, wenn der Kunde die Leistung nach der Fertigstellungsanzeige zehn (10) Werktage produktiv nutzt, ohne einen wesentlichen Mangel zu rügen. NexAI weist in der Fertigstellungsanzeige auf diese Folgen hin.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w:t>
      </w:r>
      <w:r>
        <w:rPr>
          <w:rFonts w:ascii="Arial" w:cs="Arial" w:eastAsia="Arial" w:hAnsi="Arial"/>
          <w:b/>
          <w:bCs/>
          <w:i w:val="false"/>
          <w:iCs w:val="false"/>
          <w:color w:val="1A1A1A"/>
          <w:sz w:val="21"/>
          <w:szCs w:val="21"/>
        </w:rPr>
        <w:t xml:space="preserve">Verjährungsfrist für Mängelansprüche</w:t>
      </w:r>
      <w:r>
        <w:rPr>
          <w:rFonts w:ascii="Arial" w:cs="Arial" w:eastAsia="Arial" w:hAnsi="Arial"/>
          <w:b w:val="false"/>
          <w:bCs w:val="false"/>
          <w:i w:val="false"/>
          <w:iCs w:val="false"/>
          <w:color w:val="1A1A1A"/>
          <w:sz w:val="21"/>
          <w:szCs w:val="21"/>
        </w:rPr>
        <w:t xml:space="preserve"> aus Projektleistungen beträgt </w:t>
      </w:r>
      <w:r>
        <w:rPr>
          <w:rFonts w:ascii="Arial" w:cs="Arial" w:eastAsia="Arial" w:hAnsi="Arial"/>
          <w:b/>
          <w:bCs/>
          <w:i w:val="false"/>
          <w:iCs w:val="false"/>
          <w:color w:val="1A1A1A"/>
          <w:sz w:val="21"/>
          <w:szCs w:val="21"/>
        </w:rPr>
        <w:t xml:space="preserve">ein (1) Jahr ab dem gesetzlichen Verjährungsbeginn</w:t>
      </w:r>
      <w:r>
        <w:rPr>
          <w:rFonts w:ascii="Arial" w:cs="Arial" w:eastAsia="Arial" w:hAnsi="Arial"/>
          <w:b w:val="false"/>
          <w:bCs w:val="false"/>
          <w:i w:val="false"/>
          <w:iCs w:val="false"/>
          <w:color w:val="1A1A1A"/>
          <w:sz w:val="21"/>
          <w:szCs w:val="21"/>
        </w:rPr>
        <w:t xml:space="preserve">. Dies gilt nicht bei Verletzung des Lebens, des Körpers oder der Gesundheit, bei Vorsatz oder grober Fahrlässigkeit, bei arglistig verschwiegenen Mängeln, bei Übernahme einer Garantie und für Ansprüche nach dem Produkthaftungsgesetz; insoweit gelten die gesetzlichen Fristen.</w:t>
      </w:r>
    </w:p>
    <w:p>
      <w:pPr>
        <w:pStyle w:val="Heading2"/>
        <w:keepNext/>
        <w:spacing w:after="80" w:before="160"/>
      </w:pPr>
      <w:r>
        <w:rPr>
          <w:rFonts w:ascii="Arial" w:cs="Arial" w:eastAsia="Arial" w:hAnsi="Arial"/>
          <w:b/>
          <w:bCs/>
          <w:i w:val="false"/>
          <w:iCs w:val="false"/>
          <w:color w:val="0B0B0F"/>
          <w:sz w:val="21"/>
          <w:szCs w:val="21"/>
        </w:rPr>
        <w:t xml:space="preserve">(2) Betriebsleistungen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laufende Betrieb, die Wartung, das Hosting und der Support der Agenten und der von NexAI betriebenen Anwendungen (nachfolgend </w:t>
      </w:r>
      <w:r>
        <w:rPr>
          <w:rFonts w:ascii="Arial" w:cs="Arial" w:eastAsia="Arial" w:hAnsi="Arial"/>
          <w:b/>
          <w:bCs/>
          <w:i w:val="false"/>
          <w:iCs w:val="false"/>
          <w:color w:val="1A1A1A"/>
          <w:sz w:val="21"/>
          <w:szCs w:val="21"/>
        </w:rPr>
        <w:t xml:space="preserve">"Betriebsleistungen"</w:t>
      </w:r>
      <w:r>
        <w:rPr>
          <w:rFonts w:ascii="Arial" w:cs="Arial" w:eastAsia="Arial" w:hAnsi="Arial"/>
          <w:b w:val="false"/>
          <w:bCs w:val="false"/>
          <w:i w:val="false"/>
          <w:iCs w:val="false"/>
          <w:color w:val="1A1A1A"/>
          <w:sz w:val="21"/>
          <w:szCs w:val="21"/>
        </w:rPr>
        <w:t xml:space="preserve">) umfassen die Bereitstellung zur Nutzung und die Pflege nach Anlage A und Anlage C (SLA). Für die Agenten gilt Dienstvertragsrecht (§ 611 BGB). Soweit die Bereitstellung einer Anwendung nach Mietrecht zu beurteilen ist (§ 548a BGB), gelten die Regelungen dieses Vertrags und der Anlage C zu Verfügbarkeit, Minderung und Haftung, insbesondere § 12 Abs. (7). Geschuldet ist </w:t>
      </w:r>
      <w:r>
        <w:rPr>
          <w:rFonts w:ascii="Arial" w:cs="Arial" w:eastAsia="Arial" w:hAnsi="Arial"/>
          <w:b/>
          <w:bCs/>
          <w:i w:val="false"/>
          <w:iCs w:val="false"/>
          <w:color w:val="1A1A1A"/>
          <w:sz w:val="21"/>
          <w:szCs w:val="21"/>
        </w:rPr>
        <w:t xml:space="preserve">kein bestimmter wirtschaftlicher Erfolg</w:t>
      </w:r>
      <w:r>
        <w:rPr>
          <w:rFonts w:ascii="Arial" w:cs="Arial" w:eastAsia="Arial" w:hAnsi="Arial"/>
          <w:b w:val="false"/>
          <w:bCs w:val="false"/>
          <w:i w:val="false"/>
          <w:iCs w:val="false"/>
          <w:color w:val="1A1A1A"/>
          <w:sz w:val="21"/>
          <w:szCs w:val="21"/>
        </w:rPr>
        <w:t xml:space="preserve"> (z. B. eine bestimmte Zahl an Terminen, Leads, Abschlüssen oder Umsätzen). Anwendungen, die dem Kunden als Kauflizenz überlassen werden, sind keine Betriebsleistung; für sie gilt Anlage 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Umfang, Verfügbarkeit, Reaktionszeiten und Wartungsfenster der Betriebsleistungen ergeben sich aus Anlage A und Anlage C (SLA).</w:t>
      </w:r>
    </w:p>
    <w:p>
      <w:pPr>
        <w:pStyle w:val="Heading1"/>
        <w:keepNext/>
        <w:spacing w:after="100" w:before="260"/>
      </w:pPr>
      <w:r>
        <w:rPr>
          <w:rFonts w:ascii="Arial" w:cs="Arial" w:eastAsia="Arial" w:hAnsi="Arial"/>
          <w:b/>
          <w:bCs/>
          <w:color w:val="1F3A8A"/>
          <w:sz w:val="24"/>
          <w:szCs w:val="24"/>
        </w:rPr>
        <w:t xml:space="preserve">§ 4  </w:t>
      </w:r>
      <w:r>
        <w:rPr>
          <w:rFonts w:ascii="Arial" w:cs="Arial" w:eastAsia="Arial" w:hAnsi="Arial"/>
          <w:b/>
          <w:bCs/>
          <w:i w:val="false"/>
          <w:iCs w:val="false"/>
          <w:color w:val="0B0B0F"/>
          <w:sz w:val="24"/>
          <w:szCs w:val="24"/>
        </w:rPr>
        <w:t xml:space="preserve">KI-Systeme, Funktionsweise und KI-Transparenz</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Agenten beruhen auf wahrscheinlichkeitsbasierten Verfahren (u. a. generative Sprach- und Sprachverarbeitungsmodelle). Ihre Ausgaben sind </w:t>
      </w:r>
      <w:r>
        <w:rPr>
          <w:rFonts w:ascii="Arial" w:cs="Arial" w:eastAsia="Arial" w:hAnsi="Arial"/>
          <w:b/>
          <w:bCs/>
          <w:i w:val="false"/>
          <w:iCs w:val="false"/>
          <w:color w:val="1A1A1A"/>
          <w:sz w:val="21"/>
          <w:szCs w:val="21"/>
        </w:rPr>
        <w:t xml:space="preserve">naturgemäß nicht in jedem Einzelfall fehlerfrei, vollständig oder inhaltlich zutreffend</w:t>
      </w:r>
      <w:r>
        <w:rPr>
          <w:rFonts w:ascii="Arial" w:cs="Arial" w:eastAsia="Arial" w:hAnsi="Arial"/>
          <w:b w:val="false"/>
          <w:bCs w:val="false"/>
          <w:i w:val="false"/>
          <w:iCs w:val="false"/>
          <w:color w:val="1A1A1A"/>
          <w:sz w:val="21"/>
          <w:szCs w:val="21"/>
        </w:rPr>
        <w:t xml:space="preserve">. NexAI schuldet keine Fehlerfreiheit der Einzelausgaben.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ist für den bestimmungsgemäßen Einsatz der Agenten in seinen Prozessen verantwortlich und hat ausgabekritische Ergebnisse (insbesondere solche mit rechtlicher, finanzieller oder gesundheitlicher Relevanz) eigenverantwortlich zu prüfen bzw. durch geeignete organisatorische Maßnahmen abzusichern.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Kennzeichnung der KI-gestützten Interaktion und Inhalte gemäß </w:t>
      </w:r>
      <w:r>
        <w:rPr>
          <w:rFonts w:ascii="Arial" w:cs="Arial" w:eastAsia="Arial" w:hAnsi="Arial"/>
          <w:b/>
          <w:bCs/>
          <w:i w:val="false"/>
          <w:iCs w:val="false"/>
          <w:color w:val="1A1A1A"/>
          <w:sz w:val="21"/>
          <w:szCs w:val="21"/>
        </w:rPr>
        <w:t xml:space="preserve">Art. 50 der Verordnung (EU) 2024/1689 (KI-VO / AI Act)</w:t>
      </w:r>
      <w:r>
        <w:rPr>
          <w:rFonts w:ascii="Arial" w:cs="Arial" w:eastAsia="Arial" w:hAnsi="Arial"/>
          <w:b w:val="false"/>
          <w:bCs w:val="false"/>
          <w:i w:val="false"/>
          <w:iCs w:val="false"/>
          <w:color w:val="1A1A1A"/>
          <w:sz w:val="21"/>
          <w:szCs w:val="21"/>
        </w:rPr>
        <w:t xml:space="preserve"> — insbesondere der Hinweis, dass der Endnutzer mit einem KI-System interagiert bzw. dass Inhalte KI-generiert sind — ist </w:t>
      </w:r>
      <w:r>
        <w:rPr>
          <w:rFonts w:ascii="Arial" w:cs="Arial" w:eastAsia="Arial" w:hAnsi="Arial"/>
          <w:b/>
          <w:bCs/>
          <w:i w:val="false"/>
          <w:iCs w:val="false"/>
          <w:color w:val="1A1A1A"/>
          <w:sz w:val="21"/>
          <w:szCs w:val="21"/>
        </w:rPr>
        <w:t xml:space="preserve">verbindlicher, nicht abschaltbarer Leistungsbestandteil</w:t>
      </w:r>
      <w:r>
        <w:rPr>
          <w:rFonts w:ascii="Arial" w:cs="Arial" w:eastAsia="Arial" w:hAnsi="Arial"/>
          <w:b w:val="false"/>
          <w:bCs w:val="false"/>
          <w:i w:val="false"/>
          <w:iCs w:val="false"/>
          <w:color w:val="1A1A1A"/>
          <w:sz w:val="21"/>
          <w:szCs w:val="21"/>
        </w:rPr>
        <w:t xml:space="preserve">. Für den NexAI Mailagent richtet sich die Kennzeichnung nach Anlage A Ziffer 5.4 Abs. (6).</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Kunde ist nicht berechtigt, diese Kennzeichnung, die Pflicht-Ansage oder sonstige Transparenzhinweise zu unterdrücken, zu entfernen, zu verfälschen oder zu umgehen. Ein Verstoß berechtigt NexAI zur vorübergehenden Deaktivierung des betroffenen Agenten nach § 17.</w:t>
      </w:r>
    </w:p>
    <w:p>
      <w:pPr>
        <w:pStyle w:val="Heading1"/>
        <w:keepNext/>
        <w:spacing w:after="100" w:before="260"/>
      </w:pPr>
      <w:r>
        <w:rPr>
          <w:rFonts w:ascii="Arial" w:cs="Arial" w:eastAsia="Arial" w:hAnsi="Arial"/>
          <w:b/>
          <w:bCs/>
          <w:color w:val="1F3A8A"/>
          <w:sz w:val="24"/>
          <w:szCs w:val="24"/>
        </w:rPr>
        <w:t xml:space="preserve">§ 5  </w:t>
      </w:r>
      <w:r>
        <w:rPr>
          <w:rFonts w:ascii="Arial" w:cs="Arial" w:eastAsia="Arial" w:hAnsi="Arial"/>
          <w:b/>
          <w:bCs/>
          <w:i w:val="false"/>
          <w:iCs w:val="false"/>
          <w:color w:val="0B0B0F"/>
          <w:sz w:val="24"/>
          <w:szCs w:val="24"/>
        </w:rPr>
        <w:t xml:space="preserve">Aufzeichnung und Transkription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Eine </w:t>
      </w:r>
      <w:r>
        <w:rPr>
          <w:rFonts w:ascii="Arial" w:cs="Arial" w:eastAsia="Arial" w:hAnsi="Arial"/>
          <w:b/>
          <w:bCs/>
          <w:i w:val="false"/>
          <w:iCs w:val="false"/>
          <w:color w:val="1A1A1A"/>
          <w:sz w:val="21"/>
          <w:szCs w:val="21"/>
        </w:rPr>
        <w:t xml:space="preserve">Tonaufzeichnung</w:t>
      </w:r>
      <w:r>
        <w:rPr>
          <w:rFonts w:ascii="Arial" w:cs="Arial" w:eastAsia="Arial" w:hAnsi="Arial"/>
          <w:b w:val="false"/>
          <w:bCs w:val="false"/>
          <w:i w:val="false"/>
          <w:iCs w:val="false"/>
          <w:color w:val="1A1A1A"/>
          <w:sz w:val="21"/>
          <w:szCs w:val="21"/>
        </w:rPr>
        <w:t xml:space="preserve"> von Gesprächen ist </w:t>
      </w:r>
      <w:r>
        <w:rPr>
          <w:rFonts w:ascii="Arial" w:cs="Arial" w:eastAsia="Arial" w:hAnsi="Arial"/>
          <w:b/>
          <w:bCs/>
          <w:i w:val="false"/>
          <w:iCs w:val="false"/>
          <w:color w:val="1A1A1A"/>
          <w:sz w:val="21"/>
          <w:szCs w:val="21"/>
        </w:rPr>
        <w:t xml:space="preserve">standardmäßig deaktiviert</w:t>
      </w:r>
      <w:r>
        <w:rPr>
          <w:rFonts w:ascii="Arial" w:cs="Arial" w:eastAsia="Arial" w:hAnsi="Arial"/>
          <w:b w:val="false"/>
          <w:bCs w:val="false"/>
          <w:i w:val="false"/>
          <w:iCs w:val="false"/>
          <w:color w:val="1A1A1A"/>
          <w:sz w:val="21"/>
          <w:szCs w:val="21"/>
        </w:rPr>
        <w:t xml:space="preserve">. Zur Verarbeitung wird die Sprache während des Gesprächs in Text umgewandelt; dieses Wortprotokoll (Transkript) speichert NexAI nicht dauerhaft, es sei denn, der Kunde hat die Übergabe eines Gesprächsprotokolls in eine Anwendung (etwa in das NexAI CRM) beauftragt. Technische Gesprächsprotokolle, die Unterauftragsverarbeiter vorübergehend vorhalten, und deren Dauer nennt Anlage B, Anhang 3.</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Eine Tonaufzeichnung oder eine dauerhafte Speicherung von Wortprotokollen erfolgt ausschließlich auf ausdrückliche, dokumentierte Weisung des Kunden in Textform und stets mit einer </w:t>
      </w:r>
      <w:r>
        <w:rPr>
          <w:rFonts w:ascii="Arial" w:cs="Arial" w:eastAsia="Arial" w:hAnsi="Arial"/>
          <w:b/>
          <w:bCs/>
          <w:i w:val="false"/>
          <w:iCs w:val="false"/>
          <w:color w:val="1A1A1A"/>
          <w:sz w:val="21"/>
          <w:szCs w:val="21"/>
        </w:rPr>
        <w:t xml:space="preserve">Pflicht-Ansage</w:t>
      </w:r>
      <w:r>
        <w:rPr>
          <w:rFonts w:ascii="Arial" w:cs="Arial" w:eastAsia="Arial" w:hAnsi="Arial"/>
          <w:b w:val="false"/>
          <w:bCs w:val="false"/>
          <w:i w:val="false"/>
          <w:iCs w:val="false"/>
          <w:color w:val="1A1A1A"/>
          <w:sz w:val="21"/>
          <w:szCs w:val="21"/>
        </w:rPr>
        <w:t xml:space="preserve"> gegenüber dem Endnutzer (KI-Hinweis nach § 4 sowie zusätzlich ein Aufzeichnungshinweis). Diese Ansage ist nicht abschaltbar.</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ist als Verantwortlicher dafür verantwortlich, dass für eine Aufzeichnung oder die Speicherung von Wortprotokollen eine tragfähige Rechtsgrundlage besteht (insbesondere Einwilligung der Endnutzer, soweit erforderlich) und die betroffenen Personen ordnungsgemäß informiert werden. § 17 gilt entsprechend.</w:t>
      </w:r>
    </w:p>
    <w:p>
      <w:pPr>
        <w:pStyle w:val="Heading1"/>
        <w:keepNext/>
        <w:spacing w:after="100" w:before="260"/>
      </w:pPr>
      <w:r>
        <w:rPr>
          <w:rFonts w:ascii="Arial" w:cs="Arial" w:eastAsia="Arial" w:hAnsi="Arial"/>
          <w:b/>
          <w:bCs/>
          <w:color w:val="1F3A8A"/>
          <w:sz w:val="24"/>
          <w:szCs w:val="24"/>
        </w:rPr>
        <w:t xml:space="preserve">§ 6  </w:t>
      </w:r>
      <w:r>
        <w:rPr>
          <w:rFonts w:ascii="Arial" w:cs="Arial" w:eastAsia="Arial" w:hAnsi="Arial"/>
          <w:b/>
          <w:bCs/>
          <w:i w:val="false"/>
          <w:iCs w:val="false"/>
          <w:color w:val="0B0B0F"/>
          <w:sz w:val="24"/>
          <w:szCs w:val="24"/>
        </w:rPr>
        <w:t xml:space="preserve">Automatisierte Erklärungen der Agenten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Agenten dienen der Auskunft, Information, Terminvereinbarung und Vorqualifizierung. Sie sind so konzipiert, dass sie </w:t>
      </w:r>
      <w:r>
        <w:rPr>
          <w:rFonts w:ascii="Arial" w:cs="Arial" w:eastAsia="Arial" w:hAnsi="Arial"/>
          <w:b/>
          <w:bCs/>
          <w:i w:val="false"/>
          <w:iCs w:val="false"/>
          <w:color w:val="1A1A1A"/>
          <w:sz w:val="21"/>
          <w:szCs w:val="21"/>
        </w:rPr>
        <w:t xml:space="preserve">keine Preis- oder Konditionszusagen, Bestellungen oder Vertragsschlüsse</w:t>
      </w:r>
      <w:r>
        <w:rPr>
          <w:rFonts w:ascii="Arial" w:cs="Arial" w:eastAsia="Arial" w:hAnsi="Arial"/>
          <w:b w:val="false"/>
          <w:bCs w:val="false"/>
          <w:i w:val="false"/>
          <w:iCs w:val="false"/>
          <w:color w:val="1A1A1A"/>
          <w:sz w:val="21"/>
          <w:szCs w:val="21"/>
        </w:rPr>
        <w:t xml:space="preserve"> namens des Kunden oder namens NexAIs erklären; ausgenommen ist die Vereinbarung von Terminen innerhalb der vom Kunden hinterlegten Verfügbarkeiten. Auf Wunsch des Kunden richtet NexAI einen Hinweis an Endnutzer ein, dass verbindlich nur Bestätigungen des Kunden in Textform sind.</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stellt sicher, dass Prozesse, in die Agenten eingebunden sind, keine automatisierte rechtsverbindliche Bindung ohne menschliche Bestätigung vorsehen, soweit dies nicht ausdrücklich und gesondert vereinbart ist. Für den selbsttätigen Versand von Antworten durch den NexAI Mailagent gilt Anlage A Ziffer 5.4 Abs. (1).</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Äußerungen eines für den Kunden betriebenen Agenten im Rahmen der vereinbarten Aufgabe werden im Verhältnis der Parteien dem </w:t>
      </w:r>
      <w:r>
        <w:rPr>
          <w:rFonts w:ascii="Arial" w:cs="Arial" w:eastAsia="Arial" w:hAnsi="Arial"/>
          <w:b/>
          <w:bCs/>
          <w:i w:val="false"/>
          <w:iCs w:val="false"/>
          <w:color w:val="1A1A1A"/>
          <w:sz w:val="21"/>
          <w:szCs w:val="21"/>
        </w:rPr>
        <w:t xml:space="preserve">Kunden zugerechnet</w:t>
      </w:r>
      <w:r>
        <w:rPr>
          <w:rFonts w:ascii="Arial" w:cs="Arial" w:eastAsia="Arial" w:hAnsi="Arial"/>
          <w:b w:val="false"/>
          <w:bCs w:val="false"/>
          <w:i w:val="false"/>
          <w:iCs w:val="false"/>
          <w:color w:val="1A1A1A"/>
          <w:sz w:val="21"/>
          <w:szCs w:val="21"/>
        </w:rPr>
        <w:t xml:space="preserve">; NexAI haftet hierfür nur nach Maßgabe von § 12.</w:t>
      </w:r>
    </w:p>
    <w:p>
      <w:pPr>
        <w:pStyle w:val="Heading1"/>
        <w:keepNext/>
        <w:spacing w:after="100" w:before="260"/>
      </w:pPr>
      <w:r>
        <w:rPr>
          <w:rFonts w:ascii="Arial" w:cs="Arial" w:eastAsia="Arial" w:hAnsi="Arial"/>
          <w:b/>
          <w:bCs/>
          <w:color w:val="1F3A8A"/>
          <w:sz w:val="24"/>
          <w:szCs w:val="24"/>
        </w:rPr>
        <w:t xml:space="preserve">§ 7  </w:t>
      </w:r>
      <w:r>
        <w:rPr>
          <w:rFonts w:ascii="Arial" w:cs="Arial" w:eastAsia="Arial" w:hAnsi="Arial"/>
          <w:b/>
          <w:bCs/>
          <w:i w:val="false"/>
          <w:iCs w:val="false"/>
          <w:color w:val="0B0B0F"/>
          <w:sz w:val="24"/>
          <w:szCs w:val="24"/>
        </w:rPr>
        <w:t xml:space="preserve">Vergütung und Zahlung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Alle Preise verstehen sich </w:t>
      </w:r>
      <w:r>
        <w:rPr>
          <w:rFonts w:ascii="Arial" w:cs="Arial" w:eastAsia="Arial" w:hAnsi="Arial"/>
          <w:b/>
          <w:bCs/>
          <w:i w:val="false"/>
          <w:iCs w:val="false"/>
          <w:color w:val="1A1A1A"/>
          <w:sz w:val="21"/>
          <w:szCs w:val="21"/>
        </w:rPr>
        <w:t xml:space="preserve">netto zzgl. der gesetzlichen Umsatzsteuer</w:t>
      </w:r>
      <w:r>
        <w:rPr>
          <w:rFonts w:ascii="Arial" w:cs="Arial" w:eastAsia="Arial" w:hAnsi="Arial"/>
          <w:b w:val="false"/>
          <w:bCs w:val="false"/>
          <w:i w:val="false"/>
          <w:iCs w:val="false"/>
          <w:color w:val="1A1A1A"/>
          <w:sz w:val="21"/>
          <w:szCs w:val="21"/>
        </w:rPr>
        <w:t xml:space="preserve">. NexAI unterliegt der Regelbesteuerung; die Umsatzsteuer-Identifikationsnummer von NexAI lautet DE463741277.</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Eine </w:t>
      </w:r>
      <w:r>
        <w:rPr>
          <w:rFonts w:ascii="Arial" w:cs="Arial" w:eastAsia="Arial" w:hAnsi="Arial"/>
          <w:b/>
          <w:bCs/>
          <w:i w:val="false"/>
          <w:iCs w:val="false"/>
          <w:color w:val="1A1A1A"/>
          <w:sz w:val="21"/>
          <w:szCs w:val="21"/>
        </w:rPr>
        <w:t xml:space="preserve">einmalige Einrichtungsgebühr</w:t>
      </w:r>
      <w:r>
        <w:rPr>
          <w:rFonts w:ascii="Arial" w:cs="Arial" w:eastAsia="Arial" w:hAnsi="Arial"/>
          <w:b w:val="false"/>
          <w:bCs w:val="false"/>
          <w:i w:val="false"/>
          <w:iCs w:val="false"/>
          <w:color w:val="1A1A1A"/>
          <w:sz w:val="21"/>
          <w:szCs w:val="21"/>
        </w:rPr>
        <w:t xml:space="preserve"> fällt nur an, wenn und soweit sie im Auftragsformular vereinbart ist; sie ist mangels abweichender Vereinbarung mit der Abnahme der Einrichtung fällig. Im Übrigen ist ein </w:t>
      </w:r>
      <w:r>
        <w:rPr>
          <w:rFonts w:ascii="Arial" w:cs="Arial" w:eastAsia="Arial" w:hAnsi="Arial"/>
          <w:b/>
          <w:bCs/>
          <w:i w:val="false"/>
          <w:iCs w:val="false"/>
          <w:color w:val="1A1A1A"/>
          <w:sz w:val="21"/>
          <w:szCs w:val="21"/>
        </w:rPr>
        <w:t xml:space="preserve">monatlicher oder — nach Wahl im Auftragsformular — jährlicher Beitrag</w:t>
      </w:r>
      <w:r>
        <w:rPr>
          <w:rFonts w:ascii="Arial" w:cs="Arial" w:eastAsia="Arial" w:hAnsi="Arial"/>
          <w:b w:val="false"/>
          <w:bCs w:val="false"/>
          <w:i w:val="false"/>
          <w:iCs w:val="false"/>
          <w:color w:val="1A1A1A"/>
          <w:sz w:val="21"/>
          <w:szCs w:val="21"/>
        </w:rPr>
        <w:t xml:space="preserve"> gemäß Auftragsformular geschuldet. Für Kauflizenzen und Projektanwendungen zum Festpreis gelten die Vergütungsregeln der Anlage 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Im Beitrag ist ein </w:t>
      </w:r>
      <w:r>
        <w:rPr>
          <w:rFonts w:ascii="Arial" w:cs="Arial" w:eastAsia="Arial" w:hAnsi="Arial"/>
          <w:b/>
          <w:bCs/>
          <w:i w:val="false"/>
          <w:iCs w:val="false"/>
          <w:color w:val="1A1A1A"/>
          <w:sz w:val="21"/>
          <w:szCs w:val="21"/>
        </w:rPr>
        <w:t xml:space="preserve">Freikontingent</w:t>
      </w:r>
      <w:r>
        <w:rPr>
          <w:rFonts w:ascii="Arial" w:cs="Arial" w:eastAsia="Arial" w:hAnsi="Arial"/>
          <w:b w:val="false"/>
          <w:bCs w:val="false"/>
          <w:i w:val="false"/>
          <w:iCs w:val="false"/>
          <w:color w:val="1A1A1A"/>
          <w:sz w:val="21"/>
          <w:szCs w:val="21"/>
        </w:rPr>
        <w:t xml:space="preserve"> an Nutzung enthalten (z. B. Gesprächsminuten, Nachrichten, Vorgänge). Nutzung über das Freikontingent hinaus (</w:t>
      </w:r>
      <w:r>
        <w:rPr>
          <w:rFonts w:ascii="Arial" w:cs="Arial" w:eastAsia="Arial" w:hAnsi="Arial"/>
          <w:b/>
          <w:bCs/>
          <w:i w:val="false"/>
          <w:iCs w:val="false"/>
          <w:color w:val="1A1A1A"/>
          <w:sz w:val="21"/>
          <w:szCs w:val="21"/>
        </w:rPr>
        <w:t xml:space="preserve">Mehrverbrauch / Overage</w:t>
      </w:r>
      <w:r>
        <w:rPr>
          <w:rFonts w:ascii="Arial" w:cs="Arial" w:eastAsia="Arial" w:hAnsi="Arial"/>
          <w:b w:val="false"/>
          <w:bCs w:val="false"/>
          <w:i w:val="false"/>
          <w:iCs w:val="false"/>
          <w:color w:val="1A1A1A"/>
          <w:sz w:val="21"/>
          <w:szCs w:val="21"/>
        </w:rPr>
        <w:t xml:space="preserve">) wird zum im Auftragsformular vereinbarten Netto-Einheitspreis (z. B. ein Preis je Gesprächsminute) abgerechnet.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Mehrverbrauch wird nachgelagert mit dem </w:t>
      </w:r>
      <w:r>
        <w:rPr>
          <w:rFonts w:ascii="Arial" w:cs="Arial" w:eastAsia="Arial" w:hAnsi="Arial"/>
          <w:b/>
          <w:bCs/>
          <w:i w:val="false"/>
          <w:iCs w:val="false"/>
          <w:color w:val="1A1A1A"/>
          <w:sz w:val="21"/>
          <w:szCs w:val="21"/>
        </w:rPr>
        <w:t xml:space="preserve">Folgemonatsbeitrag</w:t>
      </w:r>
      <w:r>
        <w:rPr>
          <w:rFonts w:ascii="Arial" w:cs="Arial" w:eastAsia="Arial" w:hAnsi="Arial"/>
          <w:b w:val="false"/>
          <w:bCs w:val="false"/>
          <w:i w:val="false"/>
          <w:iCs w:val="false"/>
          <w:color w:val="1A1A1A"/>
          <w:sz w:val="21"/>
          <w:szCs w:val="21"/>
        </w:rPr>
        <w:t xml:space="preserve"> abgerechnet. NexAI stellt auf Verlangen einen </w:t>
      </w:r>
      <w:r>
        <w:rPr>
          <w:rFonts w:ascii="Arial" w:cs="Arial" w:eastAsia="Arial" w:hAnsi="Arial"/>
          <w:b/>
          <w:bCs/>
          <w:i w:val="false"/>
          <w:iCs w:val="false"/>
          <w:color w:val="1A1A1A"/>
          <w:sz w:val="21"/>
          <w:szCs w:val="21"/>
        </w:rPr>
        <w:t xml:space="preserve">Einzelverbindungs-/Nutzungsnachweis</w:t>
      </w:r>
      <w:r>
        <w:rPr>
          <w:rFonts w:ascii="Arial" w:cs="Arial" w:eastAsia="Arial" w:hAnsi="Arial"/>
          <w:b w:val="false"/>
          <w:bCs w:val="false"/>
          <w:i w:val="false"/>
          <w:iCs w:val="false"/>
          <w:color w:val="1A1A1A"/>
          <w:sz w:val="21"/>
          <w:szCs w:val="21"/>
        </w:rPr>
        <w:t xml:space="preserve"> zur Verfügung. Je Agent kann ein technisches EUR-Spend-Cap vereinbart werden; bei Erreichen des Caps ist NexAI berechtigt, die Weiterleistung bis zur Freigabe eines höheren Caps auszusetzen.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Überschreitet der Mehrverbrauch eine im Auftragsformular festgelegte Overage-Schwelle, ist der darüber hinausgehende Betrag </w:t>
      </w:r>
      <w:r>
        <w:rPr>
          <w:rFonts w:ascii="Arial" w:cs="Arial" w:eastAsia="Arial" w:hAnsi="Arial"/>
          <w:b/>
          <w:bCs/>
          <w:i w:val="false"/>
          <w:iCs w:val="false"/>
          <w:color w:val="1A1A1A"/>
          <w:sz w:val="21"/>
          <w:szCs w:val="21"/>
        </w:rPr>
        <w:t xml:space="preserve">sofort fällig</w:t>
      </w:r>
      <w:r>
        <w:rPr>
          <w:rFonts w:ascii="Arial" w:cs="Arial" w:eastAsia="Arial" w:hAnsi="Arial"/>
          <w:b w:val="false"/>
          <w:bCs w:val="false"/>
          <w:i w:val="false"/>
          <w:iCs w:val="false"/>
          <w:color w:val="1A1A1A"/>
          <w:sz w:val="21"/>
          <w:szCs w:val="21"/>
        </w:rPr>
        <w:t xml:space="preserve"> und kann zwischenabgerechnet werden.</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Der monatliche Beitrag wird zum Monatsanfang im Voraus berechnet, der jährliche Beitrag zu Beginn jedes Vertragsjahres; ein angebrochener erster Monat wird anteilig nach Kalendertagen berechnet. Alle Rechnungen sind </w:t>
      </w:r>
      <w:r>
        <w:rPr>
          <w:rFonts w:ascii="Arial" w:cs="Arial" w:eastAsia="Arial" w:hAnsi="Arial"/>
          <w:b/>
          <w:bCs/>
          <w:i w:val="false"/>
          <w:iCs w:val="false"/>
          <w:color w:val="1A1A1A"/>
          <w:sz w:val="21"/>
          <w:szCs w:val="21"/>
        </w:rPr>
        <w:t xml:space="preserve">ohne Abzug binnen 14 Tagen ab Zugang</w:t>
      </w:r>
      <w:r>
        <w:rPr>
          <w:rFonts w:ascii="Arial" w:cs="Arial" w:eastAsia="Arial" w:hAnsi="Arial"/>
          <w:b w:val="false"/>
          <w:bCs w:val="false"/>
          <w:i w:val="false"/>
          <w:iCs w:val="false"/>
          <w:color w:val="1A1A1A"/>
          <w:sz w:val="21"/>
          <w:szCs w:val="21"/>
        </w:rPr>
        <w:t xml:space="preserve"> fällig.</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Die Zahlung erfolgt nach Wahl des Kunden per </w:t>
      </w:r>
      <w:r>
        <w:rPr>
          <w:rFonts w:ascii="Arial" w:cs="Arial" w:eastAsia="Arial" w:hAnsi="Arial"/>
          <w:b/>
          <w:bCs/>
          <w:i w:val="false"/>
          <w:iCs w:val="false"/>
          <w:color w:val="1A1A1A"/>
          <w:sz w:val="21"/>
          <w:szCs w:val="21"/>
        </w:rPr>
        <w:t xml:space="preserve">SEPA-Firmenlastschrift (B2B-Firmenlastschriftmandat)</w:t>
      </w:r>
      <w:r>
        <w:rPr>
          <w:rFonts w:ascii="Arial" w:cs="Arial" w:eastAsia="Arial" w:hAnsi="Arial"/>
          <w:b w:val="false"/>
          <w:bCs w:val="false"/>
          <w:i w:val="false"/>
          <w:iCs w:val="false"/>
          <w:color w:val="1A1A1A"/>
          <w:sz w:val="21"/>
          <w:szCs w:val="21"/>
        </w:rPr>
        <w:t xml:space="preserve"> oder per </w:t>
      </w:r>
      <w:r>
        <w:rPr>
          <w:rFonts w:ascii="Arial" w:cs="Arial" w:eastAsia="Arial" w:hAnsi="Arial"/>
          <w:b/>
          <w:bCs/>
          <w:i w:val="false"/>
          <w:iCs w:val="false"/>
          <w:color w:val="1A1A1A"/>
          <w:sz w:val="21"/>
          <w:szCs w:val="21"/>
        </w:rPr>
        <w:t xml:space="preserve">Überweisung</w:t>
      </w:r>
      <w:r>
        <w:rPr>
          <w:rFonts w:ascii="Arial" w:cs="Arial" w:eastAsia="Arial" w:hAnsi="Arial"/>
          <w:b w:val="false"/>
          <w:bCs w:val="false"/>
          <w:i w:val="false"/>
          <w:iCs w:val="false"/>
          <w:color w:val="1A1A1A"/>
          <w:sz w:val="21"/>
          <w:szCs w:val="21"/>
        </w:rPr>
        <w:t xml:space="preserve"> auf das in der Rechnung genannte Konto.</w:t>
      </w:r>
    </w:p>
    <w:p>
      <w:pPr>
        <w:spacing w:after="80" w:line="276"/>
        <w:ind w:left="360" w:hanging="360"/>
        <w:jc w:val="both"/>
      </w:pPr>
      <w:r>
        <w:rPr>
          <w:rFonts w:ascii="Arial" w:cs="Arial" w:eastAsia="Arial" w:hAnsi="Arial"/>
          <w:color w:val="1A1A1A"/>
          <w:sz w:val="21"/>
          <w:szCs w:val="21"/>
        </w:rPr>
        <w:t xml:space="preserve">(8)	</w:t>
      </w:r>
      <w:r>
        <w:rPr>
          <w:rFonts w:ascii="Arial" w:cs="Arial" w:eastAsia="Arial" w:hAnsi="Arial"/>
          <w:b w:val="false"/>
          <w:bCs w:val="false"/>
          <w:i w:val="false"/>
          <w:iCs w:val="false"/>
          <w:color w:val="1A1A1A"/>
          <w:sz w:val="21"/>
          <w:szCs w:val="21"/>
        </w:rPr>
        <w:t xml:space="preserve">Rechnungen, Stornorechnungen, Zahlungserinnerungen und Mahnungen übermittelt NexAI elektronisch an die vom Kunden im Auftragsformular oder später in Textform oder in der Anwendung benannte Rechnungs-E-Mail-Adresse. Soweit NexAI gesetzlich verpflichtet ist, eine elektronische Rechnung im Sinne des § 14 Absatz 1 Satz 3 UStG auszustellen, erhält der Kunde die Rechnung in einem diesen Anforderungen entsprechenden strukturierten Format (z. B. ZUGFeRD oder XRechnung). Im Übrigen, insbesondere soweit eine Übergangsregelung eine andere Form zulässt, stimmt der Kunde der Übermittlung von Rechnungen als PDF-Datei per E-Mail zu (§ 14 Absatz 1 Satz 5 UStG). Der Kunde teilt Änderungen seiner Rechnungsanschrift und seiner Rechnungs-E-Mail-Adresse unverzüglich in Textform mit.</w:t>
      </w:r>
    </w:p>
    <w:p>
      <w:pPr>
        <w:spacing w:after="80" w:line="276"/>
        <w:ind w:left="360" w:hanging="360"/>
        <w:jc w:val="both"/>
      </w:pPr>
      <w:r>
        <w:rPr>
          <w:rFonts w:ascii="Arial" w:cs="Arial" w:eastAsia="Arial" w:hAnsi="Arial"/>
          <w:color w:val="1A1A1A"/>
          <w:sz w:val="21"/>
          <w:szCs w:val="21"/>
        </w:rPr>
        <w:t xml:space="preserve">(9)	</w:t>
      </w:r>
      <w:r>
        <w:rPr>
          <w:rFonts w:ascii="Arial" w:cs="Arial" w:eastAsia="Arial" w:hAnsi="Arial"/>
          <w:b w:val="false"/>
          <w:bCs w:val="false"/>
          <w:i w:val="false"/>
          <w:iCs w:val="false"/>
          <w:color w:val="1A1A1A"/>
          <w:sz w:val="21"/>
          <w:szCs w:val="21"/>
        </w:rPr>
        <w:t xml:space="preserve">Bei Zahlungsverzug schuldet der Kunde Verzugszinsen in Höhe von </w:t>
      </w:r>
      <w:r>
        <w:rPr>
          <w:rFonts w:ascii="Arial" w:cs="Arial" w:eastAsia="Arial" w:hAnsi="Arial"/>
          <w:b/>
          <w:bCs/>
          <w:i w:val="false"/>
          <w:iCs w:val="false"/>
          <w:color w:val="1A1A1A"/>
          <w:sz w:val="21"/>
          <w:szCs w:val="21"/>
        </w:rPr>
        <w:t xml:space="preserve">neun (9) Prozentpunkten über dem Basiszinssatz</w:t>
      </w:r>
      <w:r>
        <w:rPr>
          <w:rFonts w:ascii="Arial" w:cs="Arial" w:eastAsia="Arial" w:hAnsi="Arial"/>
          <w:b w:val="false"/>
          <w:bCs w:val="false"/>
          <w:i w:val="false"/>
          <w:iCs w:val="false"/>
          <w:color w:val="1A1A1A"/>
          <w:sz w:val="21"/>
          <w:szCs w:val="21"/>
        </w:rPr>
        <w:t xml:space="preserve"> sowie eine Pauschale von </w:t>
      </w:r>
      <w:r>
        <w:rPr>
          <w:rFonts w:ascii="Arial" w:cs="Arial" w:eastAsia="Arial" w:hAnsi="Arial"/>
          <w:b/>
          <w:bCs/>
          <w:i w:val="false"/>
          <w:iCs w:val="false"/>
          <w:color w:val="1A1A1A"/>
          <w:sz w:val="21"/>
          <w:szCs w:val="21"/>
        </w:rPr>
        <w:t xml:space="preserve">40 EUR</w:t>
      </w:r>
      <w:r>
        <w:rPr>
          <w:rFonts w:ascii="Arial" w:cs="Arial" w:eastAsia="Arial" w:hAnsi="Arial"/>
          <w:b w:val="false"/>
          <w:bCs w:val="false"/>
          <w:i w:val="false"/>
          <w:iCs w:val="false"/>
          <w:color w:val="1A1A1A"/>
          <w:sz w:val="21"/>
          <w:szCs w:val="21"/>
        </w:rPr>
        <w:t xml:space="preserve"> (§ 288 Abs. 2, Abs. 5 BGB). Die Geltendmachung eines weitergehenden Schadens bleibt vorbehalten; die Pauschale ist auf einen geschuldeten Schadensersatz anzurechnen, soweit der Schaden in Kosten der Rechtsverfolgung begründet ist.</w:t>
      </w:r>
    </w:p>
    <w:p>
      <w:pPr>
        <w:pStyle w:val="Heading2"/>
        <w:keepNext/>
        <w:spacing w:after="80" w:before="160"/>
      </w:pPr>
      <w:r>
        <w:rPr>
          <w:rFonts w:ascii="Arial" w:cs="Arial" w:eastAsia="Arial" w:hAnsi="Arial"/>
          <w:b/>
          <w:bCs/>
          <w:i w:val="false"/>
          <w:iCs w:val="false"/>
          <w:color w:val="0B0B0F"/>
          <w:sz w:val="21"/>
          <w:szCs w:val="21"/>
        </w:rPr>
        <w:t xml:space="preserve">(10) Preisanpassung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kann Beiträge und Einheitspreise mit Wirkung für die Zukunft anpassen, wenn sich die Kosten der Leistungserbringung nach Vertragsschluss geändert haben, insbesondere die Entgelte von Subunternehmern für Telefonie, Sprach- und Modelldienste und Hosting. Die Anpassung darf die Kostenänderung, gemessen an ihrem Anteil am Preis, nicht übersteigen; Kostensenkungen gibt NexAI nach demselben Maßstab weiter (</w:t>
      </w:r>
      <w:r>
        <w:rPr>
          <w:rFonts w:ascii="Arial" w:cs="Arial" w:eastAsia="Arial" w:hAnsi="Arial"/>
          <w:b/>
          <w:bCs/>
          <w:i w:val="false"/>
          <w:iCs w:val="false"/>
          <w:color w:val="1A1A1A"/>
          <w:sz w:val="21"/>
          <w:szCs w:val="21"/>
        </w:rPr>
        <w:t xml:space="preserve">Symmetrie</w:t>
      </w:r>
      <w:r>
        <w:rPr>
          <w:rFonts w:ascii="Arial" w:cs="Arial" w:eastAsia="Arial" w:hAnsi="Arial"/>
          <w:b w:val="false"/>
          <w:bCs w:val="false"/>
          <w:i w:val="false"/>
          <w:iCs w:val="false"/>
          <w:color w:val="1A1A1A"/>
          <w:sz w:val="21"/>
          <w:szCs w:val="21"/>
        </w:rPr>
        <w:t xml:space="preserve">). Auf Verlangen legt NexAI die Kostenänderung in Textform dar.</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kündigt die Anpassung mindestens </w:t>
      </w:r>
      <w:r>
        <w:rPr>
          <w:rFonts w:ascii="Arial" w:cs="Arial" w:eastAsia="Arial" w:hAnsi="Arial"/>
          <w:b/>
          <w:bCs/>
          <w:i w:val="false"/>
          <w:iCs w:val="false"/>
          <w:color w:val="1A1A1A"/>
          <w:sz w:val="21"/>
          <w:szCs w:val="21"/>
        </w:rPr>
        <w:t xml:space="preserve">sechs (6) Wochen</w:t>
      </w:r>
      <w:r>
        <w:rPr>
          <w:rFonts w:ascii="Arial" w:cs="Arial" w:eastAsia="Arial" w:hAnsi="Arial"/>
          <w:b w:val="false"/>
          <w:bCs w:val="false"/>
          <w:i w:val="false"/>
          <w:iCs w:val="false"/>
          <w:color w:val="1A1A1A"/>
          <w:sz w:val="21"/>
          <w:szCs w:val="21"/>
        </w:rPr>
        <w:t xml:space="preserve"> vor ihrem Wirksamwerden in Textform an. Im Jahresmodell wird eine Erhöhung frühestens zum Beginn des nächsten Vertragsjahres wirksam.</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 jeder Erhöhung kann der Kunde den betroffenen Vertrag zum Zeitpunkt des Wirksamwerdens in Textform kündigen (</w:t>
      </w:r>
      <w:r>
        <w:rPr>
          <w:rFonts w:ascii="Arial" w:cs="Arial" w:eastAsia="Arial" w:hAnsi="Arial"/>
          <w:b/>
          <w:bCs/>
          <w:i w:val="false"/>
          <w:iCs w:val="false"/>
          <w:color w:val="1A1A1A"/>
          <w:sz w:val="21"/>
          <w:szCs w:val="21"/>
        </w:rPr>
        <w:t xml:space="preserve">Sonderkündigungsrecht</w:t>
      </w:r>
      <w:r>
        <w:rPr>
          <w:rFonts w:ascii="Arial" w:cs="Arial" w:eastAsia="Arial" w:hAnsi="Arial"/>
          <w:b w:val="false"/>
          <w:bCs w:val="false"/>
          <w:i w:val="false"/>
          <w:iCs w:val="false"/>
          <w:color w:val="1A1A1A"/>
          <w:sz w:val="21"/>
          <w:szCs w:val="21"/>
        </w:rPr>
        <w:t xml:space="preserve">). NexAI weist in der Ankündigung darauf hin.</w:t>
      </w:r>
    </w:p>
    <w:p>
      <w:pPr>
        <w:pStyle w:val="Heading2"/>
        <w:keepNext/>
        <w:spacing w:after="80" w:before="160"/>
      </w:pPr>
      <w:r>
        <w:rPr>
          <w:rFonts w:ascii="Arial" w:cs="Arial" w:eastAsia="Arial" w:hAnsi="Arial"/>
          <w:b/>
          <w:bCs/>
          <w:i w:val="false"/>
          <w:iCs w:val="false"/>
          <w:color w:val="0B0B0F"/>
          <w:sz w:val="21"/>
          <w:szCs w:val="21"/>
        </w:rPr>
        <w:t xml:space="preserve">(11) Leistungsaussetzung bei Verzug</w:t>
      </w:r>
    </w:p>
    <w:p>
      <w:pPr>
        <w:spacing w:after="120" w:line="276"/>
        <w:jc w:val="both"/>
      </w:pPr>
      <w:r>
        <w:rPr>
          <w:rFonts w:ascii="Arial" w:cs="Arial" w:eastAsia="Arial" w:hAnsi="Arial"/>
          <w:b w:val="false"/>
          <w:bCs w:val="false"/>
          <w:i w:val="false"/>
          <w:iCs w:val="false"/>
          <w:color w:val="1A1A1A"/>
          <w:sz w:val="21"/>
          <w:szCs w:val="21"/>
        </w:rPr>
        <w:t xml:space="preserve">Bei Zahlungsverzug ist NexAI zur Aussetzung der Betriebsleistungen erst nach </w:t>
      </w:r>
      <w:r>
        <w:rPr>
          <w:rFonts w:ascii="Arial" w:cs="Arial" w:eastAsia="Arial" w:hAnsi="Arial"/>
          <w:b/>
          <w:bCs/>
          <w:i w:val="false"/>
          <w:iCs w:val="false"/>
          <w:color w:val="1A1A1A"/>
          <w:sz w:val="21"/>
          <w:szCs w:val="21"/>
        </w:rPr>
        <w:t xml:space="preserve">vorheriger Ankündigung und Ablauf einer Nachfrist von sieben (7) Tagen</w:t>
      </w:r>
      <w:r>
        <w:rPr>
          <w:rFonts w:ascii="Arial" w:cs="Arial" w:eastAsia="Arial" w:hAnsi="Arial"/>
          <w:b w:val="false"/>
          <w:bCs w:val="false"/>
          <w:i w:val="false"/>
          <w:iCs w:val="false"/>
          <w:color w:val="1A1A1A"/>
          <w:sz w:val="21"/>
          <w:szCs w:val="21"/>
        </w:rPr>
        <w:t xml:space="preserve"> berechtigt. Eine Aussetzung erfolgt </w:t>
      </w:r>
      <w:r>
        <w:rPr>
          <w:rFonts w:ascii="Arial" w:cs="Arial" w:eastAsia="Arial" w:hAnsi="Arial"/>
          <w:b/>
          <w:bCs/>
          <w:i w:val="false"/>
          <w:iCs w:val="false"/>
          <w:color w:val="1A1A1A"/>
          <w:sz w:val="21"/>
          <w:szCs w:val="21"/>
        </w:rPr>
        <w:t xml:space="preserve">ohne Löschung von Daten oder Konfigurationen</w:t>
      </w:r>
      <w:r>
        <w:rPr>
          <w:rFonts w:ascii="Arial" w:cs="Arial" w:eastAsia="Arial" w:hAnsi="Arial"/>
          <w:b w:val="false"/>
          <w:bCs w:val="false"/>
          <w:i w:val="false"/>
          <w:iCs w:val="false"/>
          <w:color w:val="1A1A1A"/>
          <w:sz w:val="21"/>
          <w:szCs w:val="21"/>
        </w:rPr>
        <w:t xml:space="preserve">; die Wiederaufnahme erfolgt unverzüglich nach Ausgleich des Rückstands.</w:t>
      </w:r>
    </w:p>
    <w:p>
      <w:pPr>
        <w:pStyle w:val="Heading2"/>
        <w:keepNext/>
        <w:spacing w:after="80" w:before="160"/>
      </w:pPr>
      <w:r>
        <w:rPr>
          <w:rFonts w:ascii="Arial" w:cs="Arial" w:eastAsia="Arial" w:hAnsi="Arial"/>
          <w:b/>
          <w:bCs/>
          <w:i w:val="false"/>
          <w:iCs w:val="false"/>
          <w:color w:val="0B0B0F"/>
          <w:sz w:val="21"/>
          <w:szCs w:val="21"/>
        </w:rPr>
        <w:t xml:space="preserve">(12) Aufrechnung und Zurückbehaltung</w:t>
      </w:r>
    </w:p>
    <w:p>
      <w:pPr>
        <w:spacing w:after="120" w:line="276"/>
        <w:jc w:val="both"/>
      </w:pPr>
      <w:r>
        <w:rPr>
          <w:rFonts w:ascii="Arial" w:cs="Arial" w:eastAsia="Arial" w:hAnsi="Arial"/>
          <w:b w:val="false"/>
          <w:bCs w:val="false"/>
          <w:i w:val="false"/>
          <w:iCs w:val="false"/>
          <w:color w:val="1A1A1A"/>
          <w:sz w:val="21"/>
          <w:szCs w:val="21"/>
        </w:rPr>
        <w:t xml:space="preserve">Der Kunde kann nur mit </w:t>
      </w:r>
      <w:r>
        <w:rPr>
          <w:rFonts w:ascii="Arial" w:cs="Arial" w:eastAsia="Arial" w:hAnsi="Arial"/>
          <w:b/>
          <w:bCs/>
          <w:i w:val="false"/>
          <w:iCs w:val="false"/>
          <w:color w:val="1A1A1A"/>
          <w:sz w:val="21"/>
          <w:szCs w:val="21"/>
        </w:rPr>
        <w:t xml:space="preserve">unbestrittenen, rechtskräftig festgestellten oder entscheidungsreifen</w:t>
      </w:r>
      <w:r>
        <w:rPr>
          <w:rFonts w:ascii="Arial" w:cs="Arial" w:eastAsia="Arial" w:hAnsi="Arial"/>
          <w:b w:val="false"/>
          <w:bCs w:val="false"/>
          <w:i w:val="false"/>
          <w:iCs w:val="false"/>
          <w:color w:val="1A1A1A"/>
          <w:sz w:val="21"/>
          <w:szCs w:val="21"/>
        </w:rPr>
        <w:t xml:space="preserve"> Gegenforderungen aufrechnen; dies gilt nicht für Gegenforderungen wegen Mängeln oder unvollständiger Erfüllung derselben Leistung, insbesondere auf Ersatz von Mängelbeseitigungs- oder Fertigstellungskosten. Ein Zurückbehaltungsrecht steht dem Kunden nur wegen Gegenansprüchen aus </w:t>
      </w:r>
      <w:r>
        <w:rPr>
          <w:rFonts w:ascii="Arial" w:cs="Arial" w:eastAsia="Arial" w:hAnsi="Arial"/>
          <w:b/>
          <w:bCs/>
          <w:i w:val="false"/>
          <w:iCs w:val="false"/>
          <w:color w:val="1A1A1A"/>
          <w:sz w:val="21"/>
          <w:szCs w:val="21"/>
        </w:rPr>
        <w:t xml:space="preserve">demselben Vertragsverhältnis</w:t>
      </w:r>
      <w:r>
        <w:rPr>
          <w:rFonts w:ascii="Arial" w:cs="Arial" w:eastAsia="Arial" w:hAnsi="Arial"/>
          <w:b w:val="false"/>
          <w:bCs w:val="false"/>
          <w:i w:val="false"/>
          <w:iCs w:val="false"/>
          <w:color w:val="1A1A1A"/>
          <w:sz w:val="21"/>
          <w:szCs w:val="21"/>
        </w:rPr>
        <w:t xml:space="preserve"> zu; § 320 BGB bleibt unberührt.</w:t>
      </w:r>
    </w:p>
    <w:p>
      <w:pPr>
        <w:pStyle w:val="Heading1"/>
        <w:keepNext/>
        <w:spacing w:after="100" w:before="260"/>
      </w:pPr>
      <w:r>
        <w:rPr>
          <w:rFonts w:ascii="Arial" w:cs="Arial" w:eastAsia="Arial" w:hAnsi="Arial"/>
          <w:b/>
          <w:bCs/>
          <w:color w:val="1F3A8A"/>
          <w:sz w:val="24"/>
          <w:szCs w:val="24"/>
        </w:rPr>
        <w:t xml:space="preserve">§ 8  </w:t>
      </w:r>
      <w:r>
        <w:rPr>
          <w:rFonts w:ascii="Arial" w:cs="Arial" w:eastAsia="Arial" w:hAnsi="Arial"/>
          <w:b/>
          <w:bCs/>
          <w:i w:val="false"/>
          <w:iCs w:val="false"/>
          <w:color w:val="0B0B0F"/>
          <w:sz w:val="24"/>
          <w:szCs w:val="24"/>
        </w:rPr>
        <w:t xml:space="preserve">Laufzeit und Kündigung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Monatsmodell:</w:t>
      </w:r>
      <w:r>
        <w:rPr>
          <w:rFonts w:ascii="Arial" w:cs="Arial" w:eastAsia="Arial" w:hAnsi="Arial"/>
          <w:b w:val="false"/>
          <w:bCs w:val="false"/>
          <w:i w:val="false"/>
          <w:iCs w:val="false"/>
          <w:color w:val="1A1A1A"/>
          <w:sz w:val="21"/>
          <w:szCs w:val="21"/>
        </w:rPr>
        <w:t xml:space="preserve"> Wird im Auftragsformular ein monatlicher Beitrag gewählt, ist der Vertrag mit einer Frist von </w:t>
      </w:r>
      <w:r>
        <w:rPr>
          <w:rFonts w:ascii="Arial" w:cs="Arial" w:eastAsia="Arial" w:hAnsi="Arial"/>
          <w:b/>
          <w:bCs/>
          <w:i w:val="false"/>
          <w:iCs w:val="false"/>
          <w:color w:val="1A1A1A"/>
          <w:sz w:val="21"/>
          <w:szCs w:val="21"/>
        </w:rPr>
        <w:t xml:space="preserve">einem (1) Monat zum Monatsende</w:t>
      </w:r>
      <w:r>
        <w:rPr>
          <w:rFonts w:ascii="Arial" w:cs="Arial" w:eastAsia="Arial" w:hAnsi="Arial"/>
          <w:b w:val="false"/>
          <w:bCs w:val="false"/>
          <w:i w:val="false"/>
          <w:iCs w:val="false"/>
          <w:color w:val="1A1A1A"/>
          <w:sz w:val="21"/>
          <w:szCs w:val="21"/>
        </w:rPr>
        <w:t xml:space="preserve"> ordentlich kündbar.</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Jahresmodell:</w:t>
      </w:r>
      <w:r>
        <w:rPr>
          <w:rFonts w:ascii="Arial" w:cs="Arial" w:eastAsia="Arial" w:hAnsi="Arial"/>
          <w:b w:val="false"/>
          <w:bCs w:val="false"/>
          <w:i w:val="false"/>
          <w:iCs w:val="false"/>
          <w:color w:val="1A1A1A"/>
          <w:sz w:val="21"/>
          <w:szCs w:val="21"/>
        </w:rPr>
        <w:t xml:space="preserve"> Wird ein jährlicher Beitrag gewählt, beträgt die </w:t>
      </w:r>
      <w:r>
        <w:rPr>
          <w:rFonts w:ascii="Arial" w:cs="Arial" w:eastAsia="Arial" w:hAnsi="Arial"/>
          <w:b/>
          <w:bCs/>
          <w:i w:val="false"/>
          <w:iCs w:val="false"/>
          <w:color w:val="1A1A1A"/>
          <w:sz w:val="21"/>
          <w:szCs w:val="21"/>
        </w:rPr>
        <w:t xml:space="preserve">Mindestlaufzeit zwölf (12) Monate</w:t>
      </w:r>
      <w:r>
        <w:rPr>
          <w:rFonts w:ascii="Arial" w:cs="Arial" w:eastAsia="Arial" w:hAnsi="Arial"/>
          <w:b w:val="false"/>
          <w:bCs w:val="false"/>
          <w:i w:val="false"/>
          <w:iCs w:val="false"/>
          <w:color w:val="1A1A1A"/>
          <w:sz w:val="21"/>
          <w:szCs w:val="21"/>
        </w:rPr>
        <w:t xml:space="preserve">. Der als Gegenleistung für die feste Laufzeit gewährte Preisvorteil wird bei ordentlicher Beendigung nicht anteilig erstattet. Kündigt der Kunde aus einem von NexAI zu vertretenden wichtigen Grund oder endet der Vertrag nach § 22 Abs. (3), erstattet NexAI den im Voraus gezahlten Beitrag für die Zeit nach dem Vertragsende anteilig. Kündigt NexAI aus einem vom Kunden zu vertretenden wichtigen Grund, bleibt ihr Anspruch auf Ersatz des durch die vorzeitige Beendigung entstehenden Schadens unberührt. Der Vertrag verlängert sich automatisch um jeweils weitere zwölf (12) Monate, sofern er nicht mit einer Frist von </w:t>
      </w:r>
      <w:r>
        <w:rPr>
          <w:rFonts w:ascii="Arial" w:cs="Arial" w:eastAsia="Arial" w:hAnsi="Arial"/>
          <w:b/>
          <w:bCs/>
          <w:i w:val="false"/>
          <w:iCs w:val="false"/>
          <w:color w:val="1A1A1A"/>
          <w:sz w:val="21"/>
          <w:szCs w:val="21"/>
        </w:rPr>
        <w:t xml:space="preserve">einem (1) Monat zum Laufzeitende</w:t>
      </w:r>
      <w:r>
        <w:rPr>
          <w:rFonts w:ascii="Arial" w:cs="Arial" w:eastAsia="Arial" w:hAnsi="Arial"/>
          <w:b w:val="false"/>
          <w:bCs w:val="false"/>
          <w:i w:val="false"/>
          <w:iCs w:val="false"/>
          <w:color w:val="1A1A1A"/>
          <w:sz w:val="21"/>
          <w:szCs w:val="21"/>
        </w:rPr>
        <w:t xml:space="preserve"> in Textform gekündigt wird.</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Das Recht zur </w:t>
      </w:r>
      <w:r>
        <w:rPr>
          <w:rFonts w:ascii="Arial" w:cs="Arial" w:eastAsia="Arial" w:hAnsi="Arial"/>
          <w:b/>
          <w:bCs/>
          <w:i w:val="false"/>
          <w:iCs w:val="false"/>
          <w:color w:val="1A1A1A"/>
          <w:sz w:val="21"/>
          <w:szCs w:val="21"/>
        </w:rPr>
        <w:t xml:space="preserve">außerordentlichen Kündigung aus wichtigem Grund</w:t>
      </w:r>
      <w:r>
        <w:rPr>
          <w:rFonts w:ascii="Arial" w:cs="Arial" w:eastAsia="Arial" w:hAnsi="Arial"/>
          <w:b w:val="false"/>
          <w:bCs w:val="false"/>
          <w:i w:val="false"/>
          <w:iCs w:val="false"/>
          <w:color w:val="1A1A1A"/>
          <w:sz w:val="21"/>
          <w:szCs w:val="21"/>
        </w:rPr>
        <w:t xml:space="preserve"> (§ 314 BGB) bleibt für beide Parteien unberührt. Ein wichtiger Grund liegt für NexAI insbesondere vor, wenn (a) der Kunde mit Beiträgen in Höhe von </w:t>
      </w:r>
      <w:r>
        <w:rPr>
          <w:rFonts w:ascii="Arial" w:cs="Arial" w:eastAsia="Arial" w:hAnsi="Arial"/>
          <w:b/>
          <w:bCs/>
          <w:i w:val="false"/>
          <w:iCs w:val="false"/>
          <w:color w:val="1A1A1A"/>
          <w:sz w:val="21"/>
          <w:szCs w:val="21"/>
        </w:rPr>
        <w:t xml:space="preserve">mehr als zwei (2) Monatsbeiträgen</w:t>
      </w:r>
      <w:r>
        <w:rPr>
          <w:rFonts w:ascii="Arial" w:cs="Arial" w:eastAsia="Arial" w:hAnsi="Arial"/>
          <w:b w:val="false"/>
          <w:bCs w:val="false"/>
          <w:i w:val="false"/>
          <w:iCs w:val="false"/>
          <w:color w:val="1A1A1A"/>
          <w:sz w:val="21"/>
          <w:szCs w:val="21"/>
        </w:rPr>
        <w:t xml:space="preserve"> in Verzug ist und trotz Fristsetzung nicht ausgleicht, oder (b) der Kunde die Agenten oder Anwendungen trotz Abmahnung </w:t>
      </w:r>
      <w:r>
        <w:rPr>
          <w:rFonts w:ascii="Arial" w:cs="Arial" w:eastAsia="Arial" w:hAnsi="Arial"/>
          <w:b/>
          <w:bCs/>
          <w:i w:val="false"/>
          <w:iCs w:val="false"/>
          <w:color w:val="1A1A1A"/>
          <w:sz w:val="21"/>
          <w:szCs w:val="21"/>
        </w:rPr>
        <w:t xml:space="preserve">rechtswidrig nutzt</w:t>
      </w:r>
      <w:r>
        <w:rPr>
          <w:rFonts w:ascii="Arial" w:cs="Arial" w:eastAsia="Arial" w:hAnsi="Arial"/>
          <w:b w:val="false"/>
          <w:bCs w:val="false"/>
          <w:i w:val="false"/>
          <w:iCs w:val="false"/>
          <w:color w:val="1A1A1A"/>
          <w:sz w:val="21"/>
          <w:szCs w:val="21"/>
        </w:rPr>
        <w:t xml:space="preserve"> (insbesondere Verstoß gegen § 4, § 15, § 16 oder § 17).</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Jede Kündigung bedarf mindestens der Textform (§ 126b BGB).</w:t>
      </w:r>
    </w:p>
    <w:p>
      <w:pPr>
        <w:pStyle w:val="Heading1"/>
        <w:keepNext/>
        <w:spacing w:after="100" w:before="260"/>
      </w:pPr>
      <w:r>
        <w:rPr>
          <w:rFonts w:ascii="Arial" w:cs="Arial" w:eastAsia="Arial" w:hAnsi="Arial"/>
          <w:b/>
          <w:bCs/>
          <w:color w:val="1F3A8A"/>
          <w:sz w:val="24"/>
          <w:szCs w:val="24"/>
        </w:rPr>
        <w:t xml:space="preserve">§ 9  </w:t>
      </w:r>
      <w:r>
        <w:rPr>
          <w:rFonts w:ascii="Arial" w:cs="Arial" w:eastAsia="Arial" w:hAnsi="Arial"/>
          <w:b/>
          <w:bCs/>
          <w:i w:val="false"/>
          <w:iCs w:val="false"/>
          <w:color w:val="0B0B0F"/>
          <w:sz w:val="24"/>
          <w:szCs w:val="24"/>
        </w:rPr>
        <w:t xml:space="preserve">Mitwirkungspflichten des Kunden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stellt NexAI die für die Leistungserbringung erforderlichen Informationen, Inhalte, Zugänge, Freigaben und Ansprechpartner rechtzeitig, vollständig und in geeigneter Form zur Verfügung.</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benennt einen entscheidungsbefugten Ansprechpartner und erteilt Freigaben und Weisungen unverzüglich, um Verzögerungen zu vermeiden.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ist für die Richtigkeit und Rechtmäßigkeit der von ihm beigestellten Inhalte, Daten und Kontaktlisten verantwortlich und stellt sicher, dass deren Nutzung durch NexAI keine Rechte Dritter verletzt.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Kommt der Kunde seinen Mitwirkungspflichten nicht nach, verlängern sich vereinbarte Fristen angemessen; hierdurch entstehender Mehraufwand kann nach Ankündigung gesondert berechnet werden.</w:t>
      </w:r>
    </w:p>
    <w:p>
      <w:pPr>
        <w:pStyle w:val="Heading1"/>
        <w:keepNext/>
        <w:spacing w:after="100" w:before="260"/>
      </w:pPr>
      <w:r>
        <w:rPr>
          <w:rFonts w:ascii="Arial" w:cs="Arial" w:eastAsia="Arial" w:hAnsi="Arial"/>
          <w:b/>
          <w:bCs/>
          <w:color w:val="1F3A8A"/>
          <w:sz w:val="24"/>
          <w:szCs w:val="24"/>
        </w:rPr>
        <w:t xml:space="preserve">§ 10  </w:t>
      </w:r>
      <w:r>
        <w:rPr>
          <w:rFonts w:ascii="Arial" w:cs="Arial" w:eastAsia="Arial" w:hAnsi="Arial"/>
          <w:b/>
          <w:bCs/>
          <w:i w:val="false"/>
          <w:iCs w:val="false"/>
          <w:color w:val="0B0B0F"/>
          <w:sz w:val="24"/>
          <w:szCs w:val="24"/>
        </w:rPr>
        <w:t xml:space="preserve">Nutzungsrechte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Sämtliche von NexAI erstellten oder eingesetzten </w:t>
      </w:r>
      <w:r>
        <w:rPr>
          <w:rFonts w:ascii="Arial" w:cs="Arial" w:eastAsia="Arial" w:hAnsi="Arial"/>
          <w:b/>
          <w:bCs/>
          <w:i w:val="false"/>
          <w:iCs w:val="false"/>
          <w:color w:val="1A1A1A"/>
          <w:sz w:val="21"/>
          <w:szCs w:val="21"/>
        </w:rPr>
        <w:t xml:space="preserve">Prompts, Workflows, Konfigurationen, Skripte, Quellcodes, Modelle, Vorlagen und sonstigen Arbeitsergebnisse</w:t>
      </w:r>
      <w:r>
        <w:rPr>
          <w:rFonts w:ascii="Arial" w:cs="Arial" w:eastAsia="Arial" w:hAnsi="Arial"/>
          <w:b w:val="false"/>
          <w:bCs w:val="false"/>
          <w:i w:val="false"/>
          <w:iCs w:val="false"/>
          <w:color w:val="1A1A1A"/>
          <w:sz w:val="21"/>
          <w:szCs w:val="21"/>
        </w:rPr>
        <w:t xml:space="preserve"> — auch soweit sie individuell für den Kunden erstellt wurden — verbleiben einschließlich aller Rechte des geistigen Eigentums bei </w:t>
      </w:r>
      <w:r>
        <w:rPr>
          <w:rFonts w:ascii="Arial" w:cs="Arial" w:eastAsia="Arial" w:hAnsi="Arial"/>
          <w:b/>
          <w:bCs/>
          <w:i w:val="false"/>
          <w:iCs w:val="false"/>
          <w:color w:val="1A1A1A"/>
          <w:sz w:val="21"/>
          <w:szCs w:val="21"/>
        </w:rPr>
        <w:t xml:space="preserve">NexAI</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erhält für die Dauer des Vertrags ein </w:t>
      </w:r>
      <w:r>
        <w:rPr>
          <w:rFonts w:ascii="Arial" w:cs="Arial" w:eastAsia="Arial" w:hAnsi="Arial"/>
          <w:b/>
          <w:bCs/>
          <w:i w:val="false"/>
          <w:iCs w:val="false"/>
          <w:color w:val="1A1A1A"/>
          <w:sz w:val="21"/>
          <w:szCs w:val="21"/>
        </w:rPr>
        <w:t xml:space="preserve">einfaches, nicht ausschließliches, nicht übertragbares und nicht unterlizenzierbares Nutzungsrecht</w:t>
      </w:r>
      <w:r>
        <w:rPr>
          <w:rFonts w:ascii="Arial" w:cs="Arial" w:eastAsia="Arial" w:hAnsi="Arial"/>
          <w:b w:val="false"/>
          <w:bCs w:val="false"/>
          <w:i w:val="false"/>
          <w:iCs w:val="false"/>
          <w:color w:val="1A1A1A"/>
          <w:sz w:val="21"/>
          <w:szCs w:val="21"/>
        </w:rPr>
        <w:t xml:space="preserve">, die Agenten, die von NexAI betriebenen Anwendungen und die Arbeitsergebnisse im vereinbarten Umfang zu nutzen. Dieses Nutzungsrecht </w:t>
      </w:r>
      <w:r>
        <w:rPr>
          <w:rFonts w:ascii="Arial" w:cs="Arial" w:eastAsia="Arial" w:hAnsi="Arial"/>
          <w:b/>
          <w:bCs/>
          <w:i w:val="false"/>
          <w:iCs w:val="false"/>
          <w:color w:val="1A1A1A"/>
          <w:sz w:val="21"/>
          <w:szCs w:val="21"/>
        </w:rPr>
        <w:t xml:space="preserve">erlischt mit Beendigung</w:t>
      </w:r>
      <w:r>
        <w:rPr>
          <w:rFonts w:ascii="Arial" w:cs="Arial" w:eastAsia="Arial" w:hAnsi="Arial"/>
          <w:b w:val="false"/>
          <w:bCs w:val="false"/>
          <w:i w:val="false"/>
          <w:iCs w:val="false"/>
          <w:color w:val="1A1A1A"/>
          <w:sz w:val="21"/>
          <w:szCs w:val="21"/>
        </w:rPr>
        <w:t xml:space="preserve"> des jeweiligen Vertrags.</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im Betrieb erzeugten </w:t>
      </w:r>
      <w:r>
        <w:rPr>
          <w:rFonts w:ascii="Arial" w:cs="Arial" w:eastAsia="Arial" w:hAnsi="Arial"/>
          <w:b/>
          <w:bCs/>
          <w:i w:val="false"/>
          <w:iCs w:val="false"/>
          <w:color w:val="1A1A1A"/>
          <w:sz w:val="21"/>
          <w:szCs w:val="21"/>
        </w:rPr>
        <w:t xml:space="preserve">Ergebnisdaten</w:t>
      </w:r>
      <w:r>
        <w:rPr>
          <w:rFonts w:ascii="Arial" w:cs="Arial" w:eastAsia="Arial" w:hAnsi="Arial"/>
          <w:b w:val="false"/>
          <w:bCs w:val="false"/>
          <w:i w:val="false"/>
          <w:iCs w:val="false"/>
          <w:color w:val="1A1A1A"/>
          <w:sz w:val="21"/>
          <w:szCs w:val="21"/>
        </w:rPr>
        <w:t xml:space="preserve"> (insbesondere Leads, Termine, Transkripte, Gesprächsprotokolle und sonstige geschäftliche Ergebnisdaten) sind inhaltlich dem </w:t>
      </w:r>
      <w:r>
        <w:rPr>
          <w:rFonts w:ascii="Arial" w:cs="Arial" w:eastAsia="Arial" w:hAnsi="Arial"/>
          <w:b/>
          <w:bCs/>
          <w:i w:val="false"/>
          <w:iCs w:val="false"/>
          <w:color w:val="1A1A1A"/>
          <w:sz w:val="21"/>
          <w:szCs w:val="21"/>
        </w:rPr>
        <w:t xml:space="preserve">Kunden zugeordnet</w:t>
      </w:r>
      <w:r>
        <w:rPr>
          <w:rFonts w:ascii="Arial" w:cs="Arial" w:eastAsia="Arial" w:hAnsi="Arial"/>
          <w:b w:val="false"/>
          <w:bCs w:val="false"/>
          <w:i w:val="false"/>
          <w:iCs w:val="false"/>
          <w:color w:val="1A1A1A"/>
          <w:sz w:val="21"/>
          <w:szCs w:val="21"/>
        </w:rPr>
        <w:t xml:space="preserve"> und werden ihm nach Maßgabe von § 21 herausgegeben bzw. exportiert.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Vom Kunden beigestellte Materialien, Marken, Inhalte und Daten (</w:t>
      </w:r>
      <w:r>
        <w:rPr>
          <w:rFonts w:ascii="Arial" w:cs="Arial" w:eastAsia="Arial" w:hAnsi="Arial"/>
          <w:b/>
          <w:bCs/>
          <w:i w:val="false"/>
          <w:iCs w:val="false"/>
          <w:color w:val="1A1A1A"/>
          <w:sz w:val="21"/>
          <w:szCs w:val="21"/>
        </w:rPr>
        <w:t xml:space="preserve">beigestellte Materialien</w:t>
      </w:r>
      <w:r>
        <w:rPr>
          <w:rFonts w:ascii="Arial" w:cs="Arial" w:eastAsia="Arial" w:hAnsi="Arial"/>
          <w:b w:val="false"/>
          <w:bCs w:val="false"/>
          <w:i w:val="false"/>
          <w:iCs w:val="false"/>
          <w:color w:val="1A1A1A"/>
          <w:sz w:val="21"/>
          <w:szCs w:val="21"/>
        </w:rPr>
        <w:t xml:space="preserve">) verbleiben im Eigentum bzw. in der Rechtsinhaberschaft des Kunden. Der Kunde räumt NexAI die zur Vertragserfüllung erforderlichen Nutzungsrechte hieran ein.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Abweichend von Absatz (2) richtet sich das Nutzungsrecht an Anwendungen, die als </w:t>
      </w:r>
      <w:r>
        <w:rPr>
          <w:rFonts w:ascii="Arial" w:cs="Arial" w:eastAsia="Arial" w:hAnsi="Arial"/>
          <w:b/>
          <w:bCs/>
          <w:i w:val="false"/>
          <w:iCs w:val="false"/>
          <w:color w:val="1A1A1A"/>
          <w:sz w:val="21"/>
          <w:szCs w:val="21"/>
        </w:rPr>
        <w:t xml:space="preserve">Kauflizenz</w:t>
      </w:r>
      <w:r>
        <w:rPr>
          <w:rFonts w:ascii="Arial" w:cs="Arial" w:eastAsia="Arial" w:hAnsi="Arial"/>
          <w:b w:val="false"/>
          <w:bCs w:val="false"/>
          <w:i w:val="false"/>
          <w:iCs w:val="false"/>
          <w:color w:val="1A1A1A"/>
          <w:sz w:val="21"/>
          <w:szCs w:val="21"/>
        </w:rPr>
        <w:t xml:space="preserve"> oder als </w:t>
      </w:r>
      <w:r>
        <w:rPr>
          <w:rFonts w:ascii="Arial" w:cs="Arial" w:eastAsia="Arial" w:hAnsi="Arial"/>
          <w:b/>
          <w:bCs/>
          <w:i w:val="false"/>
          <w:iCs w:val="false"/>
          <w:color w:val="1A1A1A"/>
          <w:sz w:val="21"/>
          <w:szCs w:val="21"/>
        </w:rPr>
        <w:t xml:space="preserve">Projektanwendung zum Festpreis</w:t>
      </w:r>
      <w:r>
        <w:rPr>
          <w:rFonts w:ascii="Arial" w:cs="Arial" w:eastAsia="Arial" w:hAnsi="Arial"/>
          <w:b w:val="false"/>
          <w:bCs w:val="false"/>
          <w:i w:val="false"/>
          <w:iCs w:val="false"/>
          <w:color w:val="1A1A1A"/>
          <w:sz w:val="21"/>
          <w:szCs w:val="21"/>
        </w:rPr>
        <w:t xml:space="preserve"> überlassen werden, nach Anlage E.</w:t>
      </w:r>
    </w:p>
    <w:p>
      <w:pPr>
        <w:pStyle w:val="Heading1"/>
        <w:keepNext/>
        <w:spacing w:after="100" w:before="260"/>
      </w:pPr>
      <w:r>
        <w:rPr>
          <w:rFonts w:ascii="Arial" w:cs="Arial" w:eastAsia="Arial" w:hAnsi="Arial"/>
          <w:b/>
          <w:bCs/>
          <w:color w:val="1F3A8A"/>
          <w:sz w:val="24"/>
          <w:szCs w:val="24"/>
        </w:rPr>
        <w:t xml:space="preserve">§ 11  </w:t>
      </w:r>
      <w:r>
        <w:rPr>
          <w:rFonts w:ascii="Arial" w:cs="Arial" w:eastAsia="Arial" w:hAnsi="Arial"/>
          <w:b/>
          <w:bCs/>
          <w:i w:val="false"/>
          <w:iCs w:val="false"/>
          <w:color w:val="0B0B0F"/>
          <w:sz w:val="24"/>
          <w:szCs w:val="24"/>
        </w:rPr>
        <w:t xml:space="preserve">Betriebsinfrastruktur und Accounts</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zur Erbringung der Betriebsleistungen genutzten </w:t>
      </w:r>
      <w:r>
        <w:rPr>
          <w:rFonts w:ascii="Arial" w:cs="Arial" w:eastAsia="Arial" w:hAnsi="Arial"/>
          <w:b/>
          <w:bCs/>
          <w:i w:val="false"/>
          <w:iCs w:val="false"/>
          <w:color w:val="1A1A1A"/>
          <w:sz w:val="21"/>
          <w:szCs w:val="21"/>
        </w:rPr>
        <w:t xml:space="preserve">Accounts, Zugangsdaten, API-Schlüssel, Rufnummern und Infrastrukturkomponenten</w:t>
      </w:r>
      <w:r>
        <w:rPr>
          <w:rFonts w:ascii="Arial" w:cs="Arial" w:eastAsia="Arial" w:hAnsi="Arial"/>
          <w:b w:val="false"/>
          <w:bCs w:val="false"/>
          <w:i w:val="false"/>
          <w:iCs w:val="false"/>
          <w:color w:val="1A1A1A"/>
          <w:sz w:val="21"/>
          <w:szCs w:val="21"/>
        </w:rPr>
        <w:t xml:space="preserve"> sind </w:t>
      </w:r>
      <w:r>
        <w:rPr>
          <w:rFonts w:ascii="Arial" w:cs="Arial" w:eastAsia="Arial" w:hAnsi="Arial"/>
          <w:b/>
          <w:bCs/>
          <w:i w:val="false"/>
          <w:iCs w:val="false"/>
          <w:color w:val="1A1A1A"/>
          <w:sz w:val="21"/>
          <w:szCs w:val="21"/>
        </w:rPr>
        <w:t xml:space="preserve">Betriebsmittel der NexAI</w:t>
      </w:r>
      <w:r>
        <w:rPr>
          <w:rFonts w:ascii="Arial" w:cs="Arial" w:eastAsia="Arial" w:hAnsi="Arial"/>
          <w:b w:val="false"/>
          <w:bCs w:val="false"/>
          <w:i w:val="false"/>
          <w:iCs w:val="false"/>
          <w:color w:val="1A1A1A"/>
          <w:sz w:val="21"/>
          <w:szCs w:val="21"/>
        </w:rPr>
        <w:t xml:space="preserve">. Ein </w:t>
      </w:r>
      <w:r>
        <w:rPr>
          <w:rFonts w:ascii="Arial" w:cs="Arial" w:eastAsia="Arial" w:hAnsi="Arial"/>
          <w:b/>
          <w:bCs/>
          <w:i w:val="false"/>
          <w:iCs w:val="false"/>
          <w:color w:val="1A1A1A"/>
          <w:sz w:val="21"/>
          <w:szCs w:val="21"/>
        </w:rPr>
        <w:t xml:space="preserve">Herausgabeanspruch</w:t>
      </w:r>
      <w:r>
        <w:rPr>
          <w:rFonts w:ascii="Arial" w:cs="Arial" w:eastAsia="Arial" w:hAnsi="Arial"/>
          <w:b w:val="false"/>
          <w:bCs w:val="false"/>
          <w:i w:val="false"/>
          <w:iCs w:val="false"/>
          <w:color w:val="1A1A1A"/>
          <w:sz w:val="21"/>
          <w:szCs w:val="21"/>
        </w:rPr>
        <w:t xml:space="preserve"> des Kunden auf diese Betriebsmittel besteht nicht, vorbehaltlich Absatz (3), § 21 und Anlage 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gewährleistet eine </w:t>
      </w:r>
      <w:r>
        <w:rPr>
          <w:rFonts w:ascii="Arial" w:cs="Arial" w:eastAsia="Arial" w:hAnsi="Arial"/>
          <w:b/>
          <w:bCs/>
          <w:i w:val="false"/>
          <w:iCs w:val="false"/>
          <w:color w:val="1A1A1A"/>
          <w:sz w:val="21"/>
          <w:szCs w:val="21"/>
        </w:rPr>
        <w:t xml:space="preserve">logische Mandantentrennung</w:t>
      </w:r>
      <w:r>
        <w:rPr>
          <w:rFonts w:ascii="Arial" w:cs="Arial" w:eastAsia="Arial" w:hAnsi="Arial"/>
          <w:b w:val="false"/>
          <w:bCs w:val="false"/>
          <w:i w:val="false"/>
          <w:iCs w:val="false"/>
          <w:color w:val="1A1A1A"/>
          <w:sz w:val="21"/>
          <w:szCs w:val="21"/>
        </w:rPr>
        <w:t xml:space="preserve"> der Kundendaten. Die Einzelheiten der technischen und organisatorischen Maßnahmen ergeben sich aus Anlage B (AVV).</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Optional können auf Wunsch des Kunden </w:t>
      </w:r>
      <w:r>
        <w:rPr>
          <w:rFonts w:ascii="Arial" w:cs="Arial" w:eastAsia="Arial" w:hAnsi="Arial"/>
          <w:b/>
          <w:bCs/>
          <w:i w:val="false"/>
          <w:iCs w:val="false"/>
          <w:color w:val="1A1A1A"/>
          <w:sz w:val="21"/>
          <w:szCs w:val="21"/>
        </w:rPr>
        <w:t xml:space="preserve">kundeneigene Accounts</w:t>
      </w:r>
      <w:r>
        <w:rPr>
          <w:rFonts w:ascii="Arial" w:cs="Arial" w:eastAsia="Arial" w:hAnsi="Arial"/>
          <w:b w:val="false"/>
          <w:bCs w:val="false"/>
          <w:i w:val="false"/>
          <w:iCs w:val="false"/>
          <w:color w:val="1A1A1A"/>
          <w:sz w:val="21"/>
          <w:szCs w:val="21"/>
        </w:rPr>
        <w:t xml:space="preserve"> eingerichtet und genutzt werden. In diesem Fall stehen die betreffenden Accounts und Zugangsdaten im Eigentum bzw. in der Verfügungsbefugnis des Kunden; bei Vertragsende erfolgt eine Übergabe nach § 21.</w:t>
      </w:r>
    </w:p>
    <w:p>
      <w:pPr>
        <w:pStyle w:val="Heading1"/>
        <w:keepNext/>
        <w:spacing w:after="100" w:before="260"/>
      </w:pPr>
      <w:r>
        <w:rPr>
          <w:rFonts w:ascii="Arial" w:cs="Arial" w:eastAsia="Arial" w:hAnsi="Arial"/>
          <w:b/>
          <w:bCs/>
          <w:color w:val="1F3A8A"/>
          <w:sz w:val="24"/>
          <w:szCs w:val="24"/>
        </w:rPr>
        <w:t xml:space="preserve">§ 12  </w:t>
      </w:r>
      <w:r>
        <w:rPr>
          <w:rFonts w:ascii="Arial" w:cs="Arial" w:eastAsia="Arial" w:hAnsi="Arial"/>
          <w:b/>
          <w:bCs/>
          <w:i w:val="false"/>
          <w:iCs w:val="false"/>
          <w:color w:val="0B0B0F"/>
          <w:sz w:val="24"/>
          <w:szCs w:val="24"/>
        </w:rPr>
        <w:t xml:space="preserve">Haftung</w:t>
      </w:r>
    </w:p>
    <w:p>
      <w:pPr>
        <w:spacing w:after="120" w:line="276"/>
        <w:jc w:val="both"/>
      </w:pPr>
      <w:r>
        <w:rPr>
          <w:rFonts w:ascii="Arial" w:cs="Arial" w:eastAsia="Arial" w:hAnsi="Arial"/>
          <w:b w:val="false"/>
          <w:bCs w:val="false"/>
          <w:i w:val="false"/>
          <w:iCs w:val="false"/>
          <w:color w:val="1A1A1A"/>
          <w:sz w:val="21"/>
          <w:szCs w:val="21"/>
        </w:rPr>
        <w:t xml:space="preserve">Für die Haftung von NexAI gilt die nachfolgende, in ihren Stufen jeweils eigenständig geltende ("blue-pencil-feste") Regelung: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(Stufe 1) Unbeschränkte Haftung:</w:t>
      </w:r>
      <w:r>
        <w:rPr>
          <w:rFonts w:ascii="Arial" w:cs="Arial" w:eastAsia="Arial" w:hAnsi="Arial"/>
          <w:b w:val="false"/>
          <w:bCs w:val="false"/>
          <w:i w:val="false"/>
          <w:iCs w:val="false"/>
          <w:color w:val="1A1A1A"/>
          <w:sz w:val="21"/>
          <w:szCs w:val="21"/>
        </w:rPr>
        <w:t xml:space="preserve"> NexAI haftet unbeschränkt bei Vorsatz und grober Fahrlässigkeit, bei der Verletzung des Lebens, des Körpers oder der Gesundheit, bei arglistigem Verschweigen eines Mangels, bei Übernahme einer Garantie sowie nach dem Produkthaftungsgesetz oder anderen Vorschriften, die eine Haftungsbeschränkung zwingend ausschließen.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(Stufe 2) Haftung bei einfacher Fahrlässigkeit:</w:t>
      </w:r>
      <w:r>
        <w:rPr>
          <w:rFonts w:ascii="Arial" w:cs="Arial" w:eastAsia="Arial" w:hAnsi="Arial"/>
          <w:b w:val="false"/>
          <w:bCs w:val="false"/>
          <w:i w:val="false"/>
          <w:iCs w:val="false"/>
          <w:color w:val="1A1A1A"/>
          <w:sz w:val="21"/>
          <w:szCs w:val="21"/>
        </w:rPr>
        <w:t xml:space="preserve"> Bei einfacher Fahrlässigkeit haftet NexAI nur bei Verletzung einer </w:t>
      </w:r>
      <w:r>
        <w:rPr>
          <w:rFonts w:ascii="Arial" w:cs="Arial" w:eastAsia="Arial" w:hAnsi="Arial"/>
          <w:b/>
          <w:bCs/>
          <w:i w:val="false"/>
          <w:iCs w:val="false"/>
          <w:color w:val="1A1A1A"/>
          <w:sz w:val="21"/>
          <w:szCs w:val="21"/>
        </w:rPr>
        <w:t xml:space="preserve">wesentlichen Vertragspflicht</w:t>
      </w:r>
      <w:r>
        <w:rPr>
          <w:rFonts w:ascii="Arial" w:cs="Arial" w:eastAsia="Arial" w:hAnsi="Arial"/>
          <w:b w:val="false"/>
          <w:bCs w:val="false"/>
          <w:i w:val="false"/>
          <w:iCs w:val="false"/>
          <w:color w:val="1A1A1A"/>
          <w:sz w:val="21"/>
          <w:szCs w:val="21"/>
        </w:rPr>
        <w:t xml:space="preserve">, also einer Pflicht, deren Erfüllung die ordnungsgemäße Durchführung des Vertrags überhaupt erst ermöglicht und auf deren Einhaltung der Kunde regelmäßig vertrauen darf. In diesem Fall ist die Haftung auf den bei Vertragsschluss </w:t>
      </w:r>
      <w:r>
        <w:rPr>
          <w:rFonts w:ascii="Arial" w:cs="Arial" w:eastAsia="Arial" w:hAnsi="Arial"/>
          <w:b/>
          <w:bCs/>
          <w:i w:val="false"/>
          <w:iCs w:val="false"/>
          <w:color w:val="1A1A1A"/>
          <w:sz w:val="21"/>
          <w:szCs w:val="21"/>
        </w:rPr>
        <w:t xml:space="preserve">vorhersehbaren, vertragstypischen Schaden</w:t>
      </w:r>
      <w:r>
        <w:rPr>
          <w:rFonts w:ascii="Arial" w:cs="Arial" w:eastAsia="Arial" w:hAnsi="Arial"/>
          <w:b w:val="false"/>
          <w:bCs w:val="false"/>
          <w:i w:val="false"/>
          <w:iCs w:val="false"/>
          <w:color w:val="1A1A1A"/>
          <w:sz w:val="21"/>
          <w:szCs w:val="21"/>
        </w:rPr>
        <w:t xml:space="preserve"> begrenzt, höchstens jedoch auf </w:t>
      </w:r>
      <w:r>
        <w:rPr>
          <w:rFonts w:ascii="Arial" w:cs="Arial" w:eastAsia="Arial" w:hAnsi="Arial"/>
          <w:b/>
          <w:bCs/>
          <w:i w:val="false"/>
          <w:iCs w:val="false"/>
          <w:color w:val="1A1A1A"/>
          <w:sz w:val="21"/>
          <w:szCs w:val="21"/>
        </w:rPr>
        <w:t xml:space="preserve">25.000 EUR je Schadensfall</w:t>
      </w:r>
      <w:r>
        <w:rPr>
          <w:rFonts w:ascii="Arial" w:cs="Arial" w:eastAsia="Arial" w:hAnsi="Arial"/>
          <w:b w:val="false"/>
          <w:bCs w:val="false"/>
          <w:i w:val="false"/>
          <w:iCs w:val="false"/>
          <w:color w:val="1A1A1A"/>
          <w:sz w:val="21"/>
          <w:szCs w:val="21"/>
        </w:rPr>
        <w:t xml:space="preserve"> oder, wenn die Auftragssumme des betroffenen Einzelvertrags höher ist, auf </w:t>
      </w:r>
      <w:r>
        <w:rPr>
          <w:rFonts w:ascii="Arial" w:cs="Arial" w:eastAsia="Arial" w:hAnsi="Arial"/>
          <w:b/>
          <w:bCs/>
          <w:i w:val="false"/>
          <w:iCs w:val="false"/>
          <w:color w:val="1A1A1A"/>
          <w:sz w:val="21"/>
          <w:szCs w:val="21"/>
        </w:rPr>
        <w:t xml:space="preserve">die Auftragssumme</w:t>
      </w:r>
      <w:r>
        <w:rPr>
          <w:rFonts w:ascii="Arial" w:cs="Arial" w:eastAsia="Arial" w:hAnsi="Arial"/>
          <w:b w:val="false"/>
          <w:bCs w:val="false"/>
          <w:i w:val="false"/>
          <w:iCs w:val="false"/>
          <w:color w:val="1A1A1A"/>
          <w:sz w:val="21"/>
          <w:szCs w:val="21"/>
        </w:rPr>
        <w:t xml:space="preserve">. Auftragssumme ist die Summe der im Einzelvertrag vereinbarten einmaligen Vergütungen und der für die ersten zwölf (12) Monate vereinbarten laufenden Vergütungen, jeweils netto. Eine Begrenzung auf einen Jahresbetrag besteht nicht.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(Stufe 3) Im Übrigen</w:t>
      </w:r>
      <w:r>
        <w:rPr>
          <w:rFonts w:ascii="Arial" w:cs="Arial" w:eastAsia="Arial" w:hAnsi="Arial"/>
          <w:b w:val="false"/>
          <w:bCs w:val="false"/>
          <w:i w:val="false"/>
          <w:iCs w:val="false"/>
          <w:color w:val="1A1A1A"/>
          <w:sz w:val="21"/>
          <w:szCs w:val="21"/>
        </w:rPr>
        <w:t xml:space="preserve"> ist die Haftung von NexAI ausgeschlossen.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übernimmt </w:t>
      </w:r>
      <w:r>
        <w:rPr>
          <w:rFonts w:ascii="Arial" w:cs="Arial" w:eastAsia="Arial" w:hAnsi="Arial"/>
          <w:b/>
          <w:bCs/>
          <w:i w:val="false"/>
          <w:iCs w:val="false"/>
          <w:color w:val="1A1A1A"/>
          <w:sz w:val="21"/>
          <w:szCs w:val="21"/>
        </w:rPr>
        <w:t xml:space="preserve">keine Erfolgs-, Lead- oder Umsatzgarantie</w:t>
      </w:r>
      <w:r>
        <w:rPr>
          <w:rFonts w:ascii="Arial" w:cs="Arial" w:eastAsia="Arial" w:hAnsi="Arial"/>
          <w:b w:val="false"/>
          <w:bCs w:val="false"/>
          <w:i w:val="false"/>
          <w:iCs w:val="false"/>
          <w:color w:val="1A1A1A"/>
          <w:sz w:val="21"/>
          <w:szCs w:val="21"/>
        </w:rPr>
        <w:t xml:space="preserve">. Insbesondere wird keine bestimmte Anzahl an Gesprächen, Terminen, Leads, Abschlüssen oder Umsätzen geschuldet oder garantiert.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Die vorstehenden Haftungsbeschränkungen gelten auch zugunsten der gesetzlichen Vertreter, Gesellschafter, Mitarbeiter und Erfüllungsgehilfen von NexAI.</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Eine Änderung der Beweislast zum Nachteil des Kunden ist mit den vorstehenden Regelungen nicht verbunden.</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bCs/>
          <w:i w:val="false"/>
          <w:iCs w:val="false"/>
          <w:color w:val="1A1A1A"/>
          <w:sz w:val="21"/>
          <w:szCs w:val="21"/>
        </w:rPr>
        <w:t xml:space="preserve">Keine verschuldensunabhängige Haftung für anfängliche Mängel:</w:t>
      </w:r>
      <w:r>
        <w:rPr>
          <w:rFonts w:ascii="Arial" w:cs="Arial" w:eastAsia="Arial" w:hAnsi="Arial"/>
          <w:b w:val="false"/>
          <w:bCs w:val="false"/>
          <w:i w:val="false"/>
          <w:iCs w:val="false"/>
          <w:color w:val="1A1A1A"/>
          <w:sz w:val="21"/>
          <w:szCs w:val="21"/>
        </w:rPr>
        <w:t xml:space="preserve"> Soweit auf die Bereitstellung einer Anwendung Mietrecht anzuwenden ist, haftet NexAI für Mängel, die bereits bei Vertragsschluss vorhanden waren, nur, wenn NexAI sie zu vertreten hat; die verschuldensunabhängige Haftung nach § 536a Abs. 1 Alt. 1 BGB ist ausgeschlossen. Absatz (1), die Minderung nach § 536 BGB und die pauschale Minderung nach Anlage C Ziffer 7 bleiben unberührt.</w:t>
      </w:r>
    </w:p>
    <w:p>
      <w:pPr>
        <w:pStyle w:val="Heading1"/>
        <w:keepNext/>
        <w:spacing w:after="100" w:before="260"/>
      </w:pPr>
      <w:r>
        <w:rPr>
          <w:rFonts w:ascii="Arial" w:cs="Arial" w:eastAsia="Arial" w:hAnsi="Arial"/>
          <w:b/>
          <w:bCs/>
          <w:color w:val="1F3A8A"/>
          <w:sz w:val="24"/>
          <w:szCs w:val="24"/>
        </w:rPr>
        <w:t xml:space="preserve">§ 13  </w:t>
      </w:r>
      <w:r>
        <w:rPr>
          <w:rFonts w:ascii="Arial" w:cs="Arial" w:eastAsia="Arial" w:hAnsi="Arial"/>
          <w:b/>
          <w:bCs/>
          <w:i w:val="false"/>
          <w:iCs w:val="false"/>
          <w:color w:val="0B0B0F"/>
          <w:sz w:val="24"/>
          <w:szCs w:val="24"/>
        </w:rPr>
        <w:t xml:space="preserve">Datenschutz und Auftragsverarbeitung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Soweit NexAI im Auftrag des Kunden personenbezogene Daten verarbeitet, gilt der als </w:t>
      </w:r>
      <w:r>
        <w:rPr>
          <w:rFonts w:ascii="Arial" w:cs="Arial" w:eastAsia="Arial" w:hAnsi="Arial"/>
          <w:b/>
          <w:bCs/>
          <w:i w:val="false"/>
          <w:iCs w:val="false"/>
          <w:color w:val="1A1A1A"/>
          <w:sz w:val="21"/>
          <w:szCs w:val="21"/>
        </w:rPr>
        <w:t xml:space="preserve">Anlage B (AVV)</w:t>
      </w:r>
      <w:r>
        <w:rPr>
          <w:rFonts w:ascii="Arial" w:cs="Arial" w:eastAsia="Arial" w:hAnsi="Arial"/>
          <w:b w:val="false"/>
          <w:bCs w:val="false"/>
          <w:i w:val="false"/>
          <w:iCs w:val="false"/>
          <w:color w:val="1A1A1A"/>
          <w:sz w:val="21"/>
          <w:szCs w:val="21"/>
        </w:rPr>
        <w:t xml:space="preserve"> beigefügte Auftragsverarbeitungsvertrag, der insoweit zwingend und vorrangig ist (§ 1 Abs. 5).</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w:t>
      </w:r>
      <w:r>
        <w:rPr>
          <w:rFonts w:ascii="Arial" w:cs="Arial" w:eastAsia="Arial" w:hAnsi="Arial"/>
          <w:b/>
          <w:bCs/>
          <w:i w:val="false"/>
          <w:iCs w:val="false"/>
          <w:color w:val="1A1A1A"/>
          <w:sz w:val="21"/>
          <w:szCs w:val="21"/>
        </w:rPr>
        <w:t xml:space="preserve">Kunde ist Verantwortlicher</w:t>
      </w:r>
      <w:r>
        <w:rPr>
          <w:rFonts w:ascii="Arial" w:cs="Arial" w:eastAsia="Arial" w:hAnsi="Arial"/>
          <w:b w:val="false"/>
          <w:bCs w:val="false"/>
          <w:i w:val="false"/>
          <w:iCs w:val="false"/>
          <w:color w:val="1A1A1A"/>
          <w:sz w:val="21"/>
          <w:szCs w:val="21"/>
        </w:rPr>
        <w:t xml:space="preserve"> im Sinne des Art. 4 Nr. 7 DSGVO; </w:t>
      </w:r>
      <w:r>
        <w:rPr>
          <w:rFonts w:ascii="Arial" w:cs="Arial" w:eastAsia="Arial" w:hAnsi="Arial"/>
          <w:b/>
          <w:bCs/>
          <w:i w:val="false"/>
          <w:iCs w:val="false"/>
          <w:color w:val="1A1A1A"/>
          <w:sz w:val="21"/>
          <w:szCs w:val="21"/>
        </w:rPr>
        <w:t xml:space="preserve">NexAI ist Auftragsverarbeiter</w:t>
      </w:r>
      <w:r>
        <w:rPr>
          <w:rFonts w:ascii="Arial" w:cs="Arial" w:eastAsia="Arial" w:hAnsi="Arial"/>
          <w:b w:val="false"/>
          <w:bCs w:val="false"/>
          <w:i w:val="false"/>
          <w:iCs w:val="false"/>
          <w:color w:val="1A1A1A"/>
          <w:sz w:val="21"/>
          <w:szCs w:val="21"/>
        </w:rPr>
        <w:t xml:space="preserve"> im Sinne des Art. 4 Nr. 8 DSGVO, soweit nicht im Einzelfall abweichend geregelt. Bei Anwendungen, die der Kunde als Kauflizenz selbst betreibt, verarbeitet NexAI personenbezogene Daten nur bei Wartungs- und Supportzugriffen (Anlage E Ziffer 6).</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Im Innenverhältnis richtet sich der Ausgleich einer gesamtschuldnerischen Haftung nach Art. 82 Abs. 5 DSGVO nach den Verursachungs- und Verantwortungsanteilen der Parteien.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Eine Freistellung von behördlich verhängten </w:t>
      </w:r>
      <w:r>
        <w:rPr>
          <w:rFonts w:ascii="Arial" w:cs="Arial" w:eastAsia="Arial" w:hAnsi="Arial"/>
          <w:b/>
          <w:bCs/>
          <w:i w:val="false"/>
          <w:iCs w:val="false"/>
          <w:color w:val="1A1A1A"/>
          <w:sz w:val="21"/>
          <w:szCs w:val="21"/>
        </w:rPr>
        <w:t xml:space="preserve">Bußgeldern</w:t>
      </w:r>
      <w:r>
        <w:rPr>
          <w:rFonts w:ascii="Arial" w:cs="Arial" w:eastAsia="Arial" w:hAnsi="Arial"/>
          <w:b w:val="false"/>
          <w:bCs w:val="false"/>
          <w:i w:val="false"/>
          <w:iCs w:val="false"/>
          <w:color w:val="1A1A1A"/>
          <w:sz w:val="21"/>
          <w:szCs w:val="21"/>
        </w:rPr>
        <w:t xml:space="preserve"> wird durch diesen Vertrag nicht begründet; die Regelung in diesem Paragraphen ist insoweit lediglich deklaratorisch und lässt die gesetzliche Verantwortlichkeit jeder Partei unberührt.</w:t>
      </w:r>
    </w:p>
    <w:p>
      <w:pPr>
        <w:pStyle w:val="Heading1"/>
        <w:keepNext/>
        <w:spacing w:after="100" w:before="260"/>
      </w:pPr>
      <w:r>
        <w:rPr>
          <w:rFonts w:ascii="Arial" w:cs="Arial" w:eastAsia="Arial" w:hAnsi="Arial"/>
          <w:b/>
          <w:bCs/>
          <w:color w:val="1F3A8A"/>
          <w:sz w:val="24"/>
          <w:szCs w:val="24"/>
        </w:rPr>
        <w:t xml:space="preserve">§ 14  </w:t>
      </w:r>
      <w:r>
        <w:rPr>
          <w:rFonts w:ascii="Arial" w:cs="Arial" w:eastAsia="Arial" w:hAnsi="Arial"/>
          <w:b/>
          <w:bCs/>
          <w:i w:val="false"/>
          <w:iCs w:val="false"/>
          <w:color w:val="0B0B0F"/>
          <w:sz w:val="24"/>
          <w:szCs w:val="24"/>
        </w:rPr>
        <w:t xml:space="preserve">Datenspeicherung und Transparenz</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stimmt ausdrücklich zu, dass Daten zur Vertragserfüllung </w:t>
      </w:r>
      <w:r>
        <w:rPr>
          <w:rFonts w:ascii="Arial" w:cs="Arial" w:eastAsia="Arial" w:hAnsi="Arial"/>
          <w:b/>
          <w:bCs/>
          <w:i w:val="false"/>
          <w:iCs w:val="false"/>
          <w:color w:val="1A1A1A"/>
          <w:sz w:val="21"/>
          <w:szCs w:val="21"/>
        </w:rPr>
        <w:t xml:space="preserve">intern bei NexAI</w:t>
      </w:r>
      <w:r>
        <w:rPr>
          <w:rFonts w:ascii="Arial" w:cs="Arial" w:eastAsia="Arial" w:hAnsi="Arial"/>
          <w:b w:val="false"/>
          <w:bCs w:val="false"/>
          <w:i w:val="false"/>
          <w:iCs w:val="false"/>
          <w:color w:val="1A1A1A"/>
          <w:sz w:val="21"/>
          <w:szCs w:val="21"/>
        </w:rPr>
        <w:t xml:space="preserve"> und </w:t>
      </w:r>
      <w:r>
        <w:rPr>
          <w:rFonts w:ascii="Arial" w:cs="Arial" w:eastAsia="Arial" w:hAnsi="Arial"/>
          <w:b/>
          <w:bCs/>
          <w:i w:val="false"/>
          <w:iCs w:val="false"/>
          <w:color w:val="1A1A1A"/>
          <w:sz w:val="21"/>
          <w:szCs w:val="21"/>
        </w:rPr>
        <w:t xml:space="preserve">gegebenenfalls extern bei Subunternehmern</w:t>
      </w:r>
      <w:r>
        <w:rPr>
          <w:rFonts w:ascii="Arial" w:cs="Arial" w:eastAsia="Arial" w:hAnsi="Arial"/>
          <w:b w:val="false"/>
          <w:bCs w:val="false"/>
          <w:i w:val="false"/>
          <w:iCs w:val="false"/>
          <w:color w:val="1A1A1A"/>
          <w:sz w:val="21"/>
          <w:szCs w:val="21"/>
        </w:rPr>
        <w:t xml:space="preserve"> (Unterauftragsverarbeiter / Drittdienste, insbesondere die in Anlage B, Anhang 2 aufgeführten Unterauftragsverarbeiter in der jeweils nach Anlage B mitgeteilten Fassung — auch in Drittländern nach Maßgabe der Anlage B) gespeichert und verarbeitet werden.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Dies betrifft sowohl </w:t>
      </w:r>
      <w:r>
        <w:rPr>
          <w:rFonts w:ascii="Arial" w:cs="Arial" w:eastAsia="Arial" w:hAnsi="Arial"/>
          <w:b/>
          <w:bCs/>
          <w:i w:val="false"/>
          <w:iCs w:val="false"/>
          <w:color w:val="1A1A1A"/>
          <w:sz w:val="21"/>
          <w:szCs w:val="21"/>
        </w:rPr>
        <w:t xml:space="preserve">Kundendaten</w:t>
      </w:r>
      <w:r>
        <w:rPr>
          <w:rFonts w:ascii="Arial" w:cs="Arial" w:eastAsia="Arial" w:hAnsi="Arial"/>
          <w:b w:val="false"/>
          <w:bCs w:val="false"/>
          <w:i w:val="false"/>
          <w:iCs w:val="false"/>
          <w:color w:val="1A1A1A"/>
          <w:sz w:val="21"/>
          <w:szCs w:val="21"/>
        </w:rPr>
        <w:t xml:space="preserve"> als auch </w:t>
      </w:r>
      <w:r>
        <w:rPr>
          <w:rFonts w:ascii="Arial" w:cs="Arial" w:eastAsia="Arial" w:hAnsi="Arial"/>
          <w:b/>
          <w:bCs/>
          <w:i w:val="false"/>
          <w:iCs w:val="false"/>
          <w:color w:val="1A1A1A"/>
          <w:sz w:val="21"/>
          <w:szCs w:val="21"/>
        </w:rPr>
        <w:t xml:space="preserve">Endnutzerdaten</w:t>
      </w:r>
      <w:r>
        <w:rPr>
          <w:rFonts w:ascii="Arial" w:cs="Arial" w:eastAsia="Arial" w:hAnsi="Arial"/>
          <w:b w:val="false"/>
          <w:bCs w:val="false"/>
          <w:i w:val="false"/>
          <w:iCs w:val="false"/>
          <w:color w:val="1A1A1A"/>
          <w:sz w:val="21"/>
          <w:szCs w:val="21"/>
        </w:rPr>
        <w:t xml:space="preserve"> (Anrufer, Chat-Kontakte, Absender und Empfänger von Nachrichten, buchende Personen), namentlich Kontaktdaten, Gesprächs- und Nachrichteninhalte und Metadaten, jeweils im Rahmen der nachstehenden Speicherregel.</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Speicherregel:</w:t>
      </w:r>
      <w:r>
        <w:rPr>
          <w:rFonts w:ascii="Arial" w:cs="Arial" w:eastAsia="Arial" w:hAnsi="Arial"/>
          <w:b w:val="false"/>
          <w:bCs w:val="false"/>
          <w:i w:val="false"/>
          <w:iCs w:val="false"/>
          <w:color w:val="1A1A1A"/>
          <w:sz w:val="21"/>
          <w:szCs w:val="21"/>
        </w:rPr>
        <w:t xml:space="preserve"> (a) </w:t>
      </w:r>
      <w:r>
        <w:rPr>
          <w:rFonts w:ascii="Arial" w:cs="Arial" w:eastAsia="Arial" w:hAnsi="Arial"/>
          <w:b/>
          <w:bCs/>
          <w:i w:val="false"/>
          <w:iCs w:val="false"/>
          <w:color w:val="1A1A1A"/>
          <w:sz w:val="21"/>
          <w:szCs w:val="21"/>
        </w:rPr>
        <w:t xml:space="preserve">Agenten:</w:t>
      </w:r>
      <w:r>
        <w:rPr>
          <w:rFonts w:ascii="Arial" w:cs="Arial" w:eastAsia="Arial" w:hAnsi="Arial"/>
          <w:b w:val="false"/>
          <w:bCs w:val="false"/>
          <w:i w:val="false"/>
          <w:iCs w:val="false"/>
          <w:color w:val="1A1A1A"/>
          <w:sz w:val="21"/>
          <w:szCs w:val="21"/>
        </w:rPr>
        <w:t xml:space="preserve"> Wo eine Speicherung technisch abschaltbar ist, erfolgt keine; im Übrigen werden die Daten spätestens sechs (6) Monate nach Erhebung gelöscht, soweit keine gesetzliche Aufbewahrungspflicht entgegensteht. Speicherfristen bei Unterauftragsverarbeitern, die sich im genutzten Tarif nicht abschalten lassen, nennt Anlage B, Anhang 3. (b) </w:t>
      </w:r>
      <w:r>
        <w:rPr>
          <w:rFonts w:ascii="Arial" w:cs="Arial" w:eastAsia="Arial" w:hAnsi="Arial"/>
          <w:b/>
          <w:bCs/>
          <w:i w:val="false"/>
          <w:iCs w:val="false"/>
          <w:color w:val="1A1A1A"/>
          <w:sz w:val="21"/>
          <w:szCs w:val="21"/>
        </w:rPr>
        <w:t xml:space="preserve">Anwendungen:</w:t>
      </w:r>
      <w:r>
        <w:rPr>
          <w:rFonts w:ascii="Arial" w:cs="Arial" w:eastAsia="Arial" w:hAnsi="Arial"/>
          <w:b w:val="false"/>
          <w:bCs w:val="false"/>
          <w:i w:val="false"/>
          <w:iCs w:val="false"/>
          <w:color w:val="1A1A1A"/>
          <w:sz w:val="21"/>
          <w:szCs w:val="21"/>
        </w:rPr>
        <w:t xml:space="preserve"> Die Speicherung der Daten des Kunden ist Gegenstand der Leistung; führendes System für die in einer Anwendung geführten Daten ist die Anwendung. Gespeichert wird für die Vertragsdauer nach den Löschregeln, die der Kunde in der Anwendung einstellt oder im Auftragsformular vereinbart; ohne solche Regeln gelten die Vorgaben der Anlage B, Anhang 3. (c) Im Übrigen ergeben sich die Speicher- und Löschregeln aus Anlage B (§ 8 und Anhang 3); nach Vertragsende gilt § 21.</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Kundenpflicht:</w:t>
      </w:r>
      <w:r>
        <w:rPr>
          <w:rFonts w:ascii="Arial" w:cs="Arial" w:eastAsia="Arial" w:hAnsi="Arial"/>
          <w:b w:val="false"/>
          <w:bCs w:val="false"/>
          <w:i w:val="false"/>
          <w:iCs w:val="false"/>
          <w:color w:val="1A1A1A"/>
          <w:sz w:val="21"/>
          <w:szCs w:val="21"/>
        </w:rPr>
        <w:t xml:space="preserve"> Der Kunde stellt als Verantwortlicher sicher, dass für die Verarbeitung eine tragfähige </w:t>
      </w:r>
      <w:r>
        <w:rPr>
          <w:rFonts w:ascii="Arial" w:cs="Arial" w:eastAsia="Arial" w:hAnsi="Arial"/>
          <w:b/>
          <w:bCs/>
          <w:i w:val="false"/>
          <w:iCs w:val="false"/>
          <w:color w:val="1A1A1A"/>
          <w:sz w:val="21"/>
          <w:szCs w:val="21"/>
        </w:rPr>
        <w:t xml:space="preserve">Rechtsgrundlage</w:t>
      </w:r>
      <w:r>
        <w:rPr>
          <w:rFonts w:ascii="Arial" w:cs="Arial" w:eastAsia="Arial" w:hAnsi="Arial"/>
          <w:b w:val="false"/>
          <w:bCs w:val="false"/>
          <w:i w:val="false"/>
          <w:iCs w:val="false"/>
          <w:color w:val="1A1A1A"/>
          <w:sz w:val="21"/>
          <w:szCs w:val="21"/>
        </w:rPr>
        <w:t xml:space="preserve"> besteht, und informiert die Endnutzer gemäß </w:t>
      </w:r>
      <w:r>
        <w:rPr>
          <w:rFonts w:ascii="Arial" w:cs="Arial" w:eastAsia="Arial" w:hAnsi="Arial"/>
          <w:b/>
          <w:bCs/>
          <w:i w:val="false"/>
          <w:iCs w:val="false"/>
          <w:color w:val="1A1A1A"/>
          <w:sz w:val="21"/>
          <w:szCs w:val="21"/>
        </w:rPr>
        <w:t xml:space="preserve">Art. 13 und 14 DSGVO</w:t>
      </w:r>
      <w:r>
        <w:rPr>
          <w:rFonts w:ascii="Arial" w:cs="Arial" w:eastAsia="Arial" w:hAnsi="Arial"/>
          <w:b w:val="false"/>
          <w:bCs w:val="false"/>
          <w:i w:val="false"/>
          <w:iCs w:val="false"/>
          <w:color w:val="1A1A1A"/>
          <w:sz w:val="21"/>
          <w:szCs w:val="21"/>
        </w:rPr>
        <w:t xml:space="preserve"> (Datenschutzhinweis sowie Bot-Ansage), einschließlich eines Hinweises auf die Einbindung von NexAI und der eingesetzten Drittdienste.</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Datenschutz-Folgenabschätzung:</w:t>
      </w:r>
      <w:r>
        <w:rPr>
          <w:rFonts w:ascii="Arial" w:cs="Arial" w:eastAsia="Arial" w:hAnsi="Arial"/>
          <w:b w:val="false"/>
          <w:bCs w:val="false"/>
          <w:i w:val="false"/>
          <w:iCs w:val="false"/>
          <w:color w:val="1A1A1A"/>
          <w:sz w:val="21"/>
          <w:szCs w:val="21"/>
        </w:rPr>
        <w:t xml:space="preserve"> Der Kunde prüft als Verantwortlicher vor Inbetriebnahme eines Voice Agent, eines Chat Agent oder des NexAI Mailagent, ob eine Datenschutz-Folgenabschätzung nach Art. 35 DSGVO erforderlich ist, und führt sie gegebenenfalls durch. NexAI weist darauf hin, dass der Einsatz künstlicher Intelligenz zur Steuerung der Interaktion mit den Betroffenen oder zur Bewertung persönlicher Aspekte auf der Liste der Datenschutzkonferenz nach Art. 35 Abs. 4 DSGVO steht (Version 1.1 vom 17.10.2018, Nr. 11); unterliegt eine Verarbeitung der Folgenabschätzung, muss der Kunde unabhängig von der Zahl seiner Beschäftigten einen Datenschutzbeauftragten benennen (§ 38 Abs. 1 Satz 2 BDSG). NexAI unterstützt den Kunden dabei nach Art. 28 Abs. 3 Buchst. f DSGVO und Anlage B § 11.3.</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Verletzt der Kunde die Pflichten nach Absatz (4) schuldhaft, </w:t>
      </w:r>
      <w:r>
        <w:rPr>
          <w:rFonts w:ascii="Arial" w:cs="Arial" w:eastAsia="Arial" w:hAnsi="Arial"/>
          <w:b/>
          <w:bCs/>
          <w:i w:val="false"/>
          <w:iCs w:val="false"/>
          <w:color w:val="1A1A1A"/>
          <w:sz w:val="21"/>
          <w:szCs w:val="21"/>
        </w:rPr>
        <w:t xml:space="preserve">stellt er NexAI von den hieraus resultierenden Ansprüchen Dritter sowie von angemessenen Kosten der Rechtsverteidigung frei</w:t>
      </w:r>
      <w:r>
        <w:rPr>
          <w:rFonts w:ascii="Arial" w:cs="Arial" w:eastAsia="Arial" w:hAnsi="Arial"/>
          <w:b w:val="false"/>
          <w:bCs w:val="false"/>
          <w:i w:val="false"/>
          <w:iCs w:val="false"/>
          <w:color w:val="1A1A1A"/>
          <w:sz w:val="21"/>
          <w:szCs w:val="21"/>
        </w:rPr>
        <w:t xml:space="preserve">; § 17 Abs. (2) Satz 2 gilt entsprechend.</w:t>
      </w:r>
    </w:p>
    <w:p>
      <w:pPr>
        <w:pStyle w:val="Heading1"/>
        <w:keepNext/>
        <w:spacing w:after="100" w:before="260"/>
      </w:pPr>
      <w:r>
        <w:rPr>
          <w:rFonts w:ascii="Arial" w:cs="Arial" w:eastAsia="Arial" w:hAnsi="Arial"/>
          <w:b/>
          <w:bCs/>
          <w:color w:val="1F3A8A"/>
          <w:sz w:val="24"/>
          <w:szCs w:val="24"/>
        </w:rPr>
        <w:t xml:space="preserve">§ 15  </w:t>
      </w:r>
      <w:r>
        <w:rPr>
          <w:rFonts w:ascii="Arial" w:cs="Arial" w:eastAsia="Arial" w:hAnsi="Arial"/>
          <w:b/>
          <w:bCs/>
          <w:i w:val="false"/>
          <w:iCs w:val="false"/>
          <w:color w:val="0B0B0F"/>
          <w:sz w:val="24"/>
          <w:szCs w:val="24"/>
        </w:rPr>
        <w:t xml:space="preserve">Ausgehende Anrufe und Nachrichten (UWG)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Ausgehende Anrufe oder Nachrichten eines Agenten führt NexAI nur durch, wenn sie im Auftragsformular gesondert beauftragt sind. Vor jeder Kampagne teilt der Kunde NexAI in Textform Zweck, Zielgruppe und Herkunft der Kontaktdaten mit.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Dienen Anrufe oder Nachrichten der Werbung, sichert der Kunde zu, dass von jeder angesprochenen Person, Verbraucher wie Unternehmer, vor dem Kontakt eine </w:t>
      </w:r>
      <w:r>
        <w:rPr>
          <w:rFonts w:ascii="Arial" w:cs="Arial" w:eastAsia="Arial" w:hAnsi="Arial"/>
          <w:b/>
          <w:bCs/>
          <w:i w:val="false"/>
          <w:iCs w:val="false"/>
          <w:color w:val="1A1A1A"/>
          <w:sz w:val="21"/>
          <w:szCs w:val="21"/>
        </w:rPr>
        <w:t xml:space="preserve">ausdrückliche Einwilligung</w:t>
      </w:r>
      <w:r>
        <w:rPr>
          <w:rFonts w:ascii="Arial" w:cs="Arial" w:eastAsia="Arial" w:hAnsi="Arial"/>
          <w:b w:val="false"/>
          <w:bCs w:val="false"/>
          <w:i w:val="false"/>
          <w:iCs w:val="false"/>
          <w:color w:val="1A1A1A"/>
          <w:sz w:val="21"/>
          <w:szCs w:val="21"/>
        </w:rPr>
        <w:t xml:space="preserve"> in Werbung durch automatisierte Anrufe oder Nachrichten vorliegt (§ 7 Abs. 2 Nr. 1 und 2 UWG). Er dokumentiert jede Einwilligung, bewahrt den Nachweis mindestens fünf (5) Jahre ab Erteilung und nach jeder Verwendung auf (vgl. § 7a UWG) und legt ihn NexAI auf Verlangen unverzüglich vor. Ohne Nachweis ist NexAI nicht verpflichtet, die Kampagne zu starten.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Anrufe ohne Werbezweck, insbesondere Terminbestätigungen, Erinnerungen an bestehende Termine und Rückrufe auf Wunsch des Angerufenen, bleiben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darf Kampagnen ablehnen oder aussetzen, wenn Anhaltspunkte für einen Verstoß gegen § 7 UWG oder Datenschutzrecht bestehen. Widersprüche angesprochener Personen setzt NexAI sofort um; der Kunde übernimmt sie in seine Sperrliste.</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Verletzt der Kunde eine Zusicherung nach Absatz (2) schuldhaft, stellt er NexAI von daraus folgenden Ansprüchen Dritter und den angemessenen Kosten der Rechtsverteidigung frei; § 17 Abs. (2) Satz 2 gilt entsprechend.</w:t>
      </w:r>
    </w:p>
    <w:p>
      <w:pPr>
        <w:pStyle w:val="Heading1"/>
        <w:keepNext/>
        <w:spacing w:after="100" w:before="260"/>
      </w:pPr>
      <w:r>
        <w:rPr>
          <w:rFonts w:ascii="Arial" w:cs="Arial" w:eastAsia="Arial" w:hAnsi="Arial"/>
          <w:b/>
          <w:bCs/>
          <w:color w:val="1F3A8A"/>
          <w:sz w:val="24"/>
          <w:szCs w:val="24"/>
        </w:rPr>
        <w:t xml:space="preserve">§ 16  </w:t>
      </w:r>
      <w:r>
        <w:rPr>
          <w:rFonts w:ascii="Arial" w:cs="Arial" w:eastAsia="Arial" w:hAnsi="Arial"/>
          <w:b/>
          <w:bCs/>
          <w:i w:val="false"/>
          <w:iCs w:val="false"/>
          <w:color w:val="0B0B0F"/>
          <w:sz w:val="24"/>
          <w:szCs w:val="24"/>
        </w:rPr>
        <w:t xml:space="preserve">Stimm- und Namensrechte, Deepfake-Kennzeichnung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Standardmäßig werden </w:t>
      </w:r>
      <w:r>
        <w:rPr>
          <w:rFonts w:ascii="Arial" w:cs="Arial" w:eastAsia="Arial" w:hAnsi="Arial"/>
          <w:b/>
          <w:bCs/>
          <w:i w:val="false"/>
          <w:iCs w:val="false"/>
          <w:color w:val="1A1A1A"/>
          <w:sz w:val="21"/>
          <w:szCs w:val="21"/>
        </w:rPr>
        <w:t xml:space="preserve">synthetische Standardstimmen</w:t>
      </w:r>
      <w:r>
        <w:rPr>
          <w:rFonts w:ascii="Arial" w:cs="Arial" w:eastAsia="Arial" w:hAnsi="Arial"/>
          <w:b w:val="false"/>
          <w:bCs w:val="false"/>
          <w:i w:val="false"/>
          <w:iCs w:val="false"/>
          <w:color w:val="1A1A1A"/>
          <w:sz w:val="21"/>
          <w:szCs w:val="21"/>
        </w:rPr>
        <w:t xml:space="preserve"> eingesetzt, an denen keine Persönlichkeitsrechte Dritter bestehen.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Wünscht der Kunde die Nutzung einer geklonten oder nachgebildeten Stimme oder eines Namens einer real existierenden Person (Stimm-Klon), hat er NexAI eine </w:t>
      </w:r>
      <w:r>
        <w:rPr>
          <w:rFonts w:ascii="Arial" w:cs="Arial" w:eastAsia="Arial" w:hAnsi="Arial"/>
          <w:b/>
          <w:bCs/>
          <w:i w:val="false"/>
          <w:iCs w:val="false"/>
          <w:color w:val="1A1A1A"/>
          <w:sz w:val="21"/>
          <w:szCs w:val="21"/>
        </w:rPr>
        <w:t xml:space="preserve">dokumentierte Einwilligung</w:t>
      </w:r>
      <w:r>
        <w:rPr>
          <w:rFonts w:ascii="Arial" w:cs="Arial" w:eastAsia="Arial" w:hAnsi="Arial"/>
          <w:b w:val="false"/>
          <w:bCs w:val="false"/>
          <w:i w:val="false"/>
          <w:iCs w:val="false"/>
          <w:color w:val="1A1A1A"/>
          <w:sz w:val="21"/>
          <w:szCs w:val="21"/>
        </w:rPr>
        <w:t xml:space="preserve"> der betroffenen Person vorzulegen. Für synthetische Nachbildungen realer Personen gelten die Transparenz- und Kennzeichnungspflichten der KI-VO (§ 4).</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w:t>
      </w:r>
      <w:r>
        <w:rPr>
          <w:rFonts w:ascii="Arial" w:cs="Arial" w:eastAsia="Arial" w:hAnsi="Arial"/>
          <w:b/>
          <w:bCs/>
          <w:i w:val="false"/>
          <w:iCs w:val="false"/>
          <w:color w:val="1A1A1A"/>
          <w:sz w:val="21"/>
          <w:szCs w:val="21"/>
        </w:rPr>
        <w:t xml:space="preserve">stellt NexAI von allen Ansprüchen frei</w:t>
      </w:r>
      <w:r>
        <w:rPr>
          <w:rFonts w:ascii="Arial" w:cs="Arial" w:eastAsia="Arial" w:hAnsi="Arial"/>
          <w:b w:val="false"/>
          <w:bCs w:val="false"/>
          <w:i w:val="false"/>
          <w:iCs w:val="false"/>
          <w:color w:val="1A1A1A"/>
          <w:sz w:val="21"/>
          <w:szCs w:val="21"/>
        </w:rPr>
        <w:t xml:space="preserve">, die Dritte wegen der Verletzung von Persönlichkeits-, Stimm-, Namens- oder sonstigen Rechten aufgrund einer vom Kunden veranlassten Stimm- oder Namensnutzung geltend machen, soweit der Kunde die Rechtsverletzung zu vertreten hat, einschließlich angemessener Kosten der Rechtsverteidigung; § 17 Abs. (2) Satz 2 gilt entsprechend.</w:t>
      </w:r>
    </w:p>
    <w:p>
      <w:pPr>
        <w:pStyle w:val="Heading1"/>
        <w:keepNext/>
        <w:spacing w:after="100" w:before="260"/>
      </w:pPr>
      <w:r>
        <w:rPr>
          <w:rFonts w:ascii="Arial" w:cs="Arial" w:eastAsia="Arial" w:hAnsi="Arial"/>
          <w:b/>
          <w:bCs/>
          <w:color w:val="1F3A8A"/>
          <w:sz w:val="24"/>
          <w:szCs w:val="24"/>
        </w:rPr>
        <w:t xml:space="preserve">§ 17  </w:t>
      </w:r>
      <w:r>
        <w:rPr>
          <w:rFonts w:ascii="Arial" w:cs="Arial" w:eastAsia="Arial" w:hAnsi="Arial"/>
          <w:b/>
          <w:bCs/>
          <w:i w:val="false"/>
          <w:iCs w:val="false"/>
          <w:color w:val="0B0B0F"/>
          <w:sz w:val="24"/>
          <w:szCs w:val="24"/>
        </w:rPr>
        <w:t xml:space="preserve">Rechtmäßige Nutzung, Freistellung und vorübergehende Deaktivierung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nutzt die Agenten und Anwendungen ausschließlich im Rahmen der geltenden Gesetze und dieses Vertrags. Untersagt sind insbesondere rechtswidrige, irreführende, belästigende oder rechtsverletzende Nutzungen.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w:t>
      </w:r>
      <w:r>
        <w:rPr>
          <w:rFonts w:ascii="Arial" w:cs="Arial" w:eastAsia="Arial" w:hAnsi="Arial"/>
          <w:b/>
          <w:bCs/>
          <w:i w:val="false"/>
          <w:iCs w:val="false"/>
          <w:color w:val="1A1A1A"/>
          <w:sz w:val="21"/>
          <w:szCs w:val="21"/>
        </w:rPr>
        <w:t xml:space="preserve">stellt NexAI von sämtlichen Ansprüchen Dritter frei</w:t>
      </w:r>
      <w:r>
        <w:rPr>
          <w:rFonts w:ascii="Arial" w:cs="Arial" w:eastAsia="Arial" w:hAnsi="Arial"/>
          <w:b w:val="false"/>
          <w:bCs w:val="false"/>
          <w:i w:val="false"/>
          <w:iCs w:val="false"/>
          <w:color w:val="1A1A1A"/>
          <w:sz w:val="21"/>
          <w:szCs w:val="21"/>
        </w:rPr>
        <w:t xml:space="preserve">, die auf einer von ihm zu vertretenden rechtswidrigen oder vertragswidrigen Nutzung der Agenten beruhen, einschließlich angemessener Kosten der Rechtsverteidigung. NexAI wird den Kunden über eine solche Inanspruchnahme unverzüglich informieren und ihm die Rechtsverteidigung ermöglichen.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 konkreten Anhaltspunkten für eine rechtswidrige Nutzung oder eine erhebliche Gefährdung Dritter ist NexAI berechtigt, den betroffenen Agenten </w:t>
      </w:r>
      <w:r>
        <w:rPr>
          <w:rFonts w:ascii="Arial" w:cs="Arial" w:eastAsia="Arial" w:hAnsi="Arial"/>
          <w:b/>
          <w:bCs/>
          <w:i w:val="false"/>
          <w:iCs w:val="false"/>
          <w:color w:val="1A1A1A"/>
          <w:sz w:val="21"/>
          <w:szCs w:val="21"/>
        </w:rPr>
        <w:t xml:space="preserve">sofort vorübergehend zu deaktivieren</w:t>
      </w:r>
      <w:r>
        <w:rPr>
          <w:rFonts w:ascii="Arial" w:cs="Arial" w:eastAsia="Arial" w:hAnsi="Arial"/>
          <w:b w:val="false"/>
          <w:bCs w:val="false"/>
          <w:i w:val="false"/>
          <w:iCs w:val="false"/>
          <w:color w:val="1A1A1A"/>
          <w:sz w:val="21"/>
          <w:szCs w:val="21"/>
        </w:rPr>
        <w:t xml:space="preserve">. NexAI informiert den Kunden unverzüglich. Die </w:t>
      </w:r>
      <w:r>
        <w:rPr>
          <w:rFonts w:ascii="Arial" w:cs="Arial" w:eastAsia="Arial" w:hAnsi="Arial"/>
          <w:b/>
          <w:bCs/>
          <w:i w:val="false"/>
          <w:iCs w:val="false"/>
          <w:color w:val="1A1A1A"/>
          <w:sz w:val="21"/>
          <w:szCs w:val="21"/>
        </w:rPr>
        <w:t xml:space="preserve">Beitragspflicht bleibt</w:t>
      </w:r>
      <w:r>
        <w:rPr>
          <w:rFonts w:ascii="Arial" w:cs="Arial" w:eastAsia="Arial" w:hAnsi="Arial"/>
          <w:b w:val="false"/>
          <w:bCs w:val="false"/>
          <w:i w:val="false"/>
          <w:iCs w:val="false"/>
          <w:color w:val="1A1A1A"/>
          <w:sz w:val="21"/>
          <w:szCs w:val="21"/>
        </w:rPr>
        <w:t xml:space="preserve"> für die Dauer einer vom Kunden zu vertretenden Deaktivierung bestehen.</w:t>
      </w:r>
    </w:p>
    <w:p>
      <w:pPr>
        <w:pStyle w:val="Heading1"/>
        <w:keepNext/>
        <w:spacing w:after="100" w:before="260"/>
      </w:pPr>
      <w:r>
        <w:rPr>
          <w:rFonts w:ascii="Arial" w:cs="Arial" w:eastAsia="Arial" w:hAnsi="Arial"/>
          <w:b/>
          <w:bCs/>
          <w:color w:val="1F3A8A"/>
          <w:sz w:val="24"/>
          <w:szCs w:val="24"/>
        </w:rPr>
        <w:t xml:space="preserve">§ 18  </w:t>
      </w:r>
      <w:r>
        <w:rPr>
          <w:rFonts w:ascii="Arial" w:cs="Arial" w:eastAsia="Arial" w:hAnsi="Arial"/>
          <w:b/>
          <w:bCs/>
          <w:i w:val="false"/>
          <w:iCs w:val="false"/>
          <w:color w:val="0B0B0F"/>
          <w:sz w:val="24"/>
          <w:szCs w:val="24"/>
        </w:rPr>
        <w:t xml:space="preserve">Vertraulichkeit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Parteien behandeln alle als vertraulich gekennzeichneten oder ihrer Natur nach vertraulichen Informationen der jeweils anderen Partei streng vertraulich und nutzen sie nur zur Vertragserfüllung.</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Vertraulichkeitspflicht gilt nicht für Informationen, die öffentlich bekannt sind, rechtmäßig von Dritten erlangt wurden oder unabhängig entwickelt wurden, sowie soweit eine gesetzliche oder behördliche Offenlegungspflicht besteht.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Vertraulichkeitspflicht besteht auch nach Beendigung des Vertrags für die Dauer von drei (3) Jahren fort.</w:t>
      </w:r>
    </w:p>
    <w:p>
      <w:pPr>
        <w:pStyle w:val="Heading1"/>
        <w:keepNext/>
        <w:spacing w:after="100" w:before="260"/>
      </w:pPr>
      <w:r>
        <w:rPr>
          <w:rFonts w:ascii="Arial" w:cs="Arial" w:eastAsia="Arial" w:hAnsi="Arial"/>
          <w:b/>
          <w:bCs/>
          <w:color w:val="1F3A8A"/>
          <w:sz w:val="24"/>
          <w:szCs w:val="24"/>
        </w:rPr>
        <w:t xml:space="preserve">§ 19  </w:t>
      </w:r>
      <w:r>
        <w:rPr>
          <w:rFonts w:ascii="Arial" w:cs="Arial" w:eastAsia="Arial" w:hAnsi="Arial"/>
          <w:b/>
          <w:bCs/>
          <w:i w:val="false"/>
          <w:iCs w:val="false"/>
          <w:color w:val="0B0B0F"/>
          <w:sz w:val="24"/>
          <w:szCs w:val="24"/>
        </w:rPr>
        <w:t xml:space="preserve">Referenznutzung</w:t>
      </w:r>
    </w:p>
    <w:p>
      <w:pPr>
        <w:spacing w:after="120" w:line="276"/>
        <w:jc w:val="both"/>
      </w:pPr>
      <w:r>
        <w:rPr>
          <w:rFonts w:ascii="Arial" w:cs="Arial" w:eastAsia="Arial" w:hAnsi="Arial"/>
          <w:b w:val="false"/>
          <w:bCs w:val="false"/>
          <w:i w:val="false"/>
          <w:iCs w:val="false"/>
          <w:color w:val="1A1A1A"/>
          <w:sz w:val="21"/>
          <w:szCs w:val="21"/>
        </w:rPr>
        <w:t xml:space="preserve">NexAI darf den Kunden als Referenz (Name und Logo) auf ihrer Website und in Vertriebsunterlagen nur nennen, wenn der Kunde dem nachfolgend ausdrücklich zustimmt (Opt-in):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stimmt der Nennung als Referenz (Name und Logo) zu. Die Zustimmung ist jederzeit mit Wirkung für die Zukunft widerruflich.</w:t>
      </w:r>
    </w:p>
    <w:p>
      <w:pPr>
        <w:pStyle w:val="Heading1"/>
        <w:keepNext/>
        <w:spacing w:after="100" w:before="260"/>
      </w:pPr>
      <w:r>
        <w:rPr>
          <w:rFonts w:ascii="Arial" w:cs="Arial" w:eastAsia="Arial" w:hAnsi="Arial"/>
          <w:b/>
          <w:bCs/>
          <w:color w:val="1F3A8A"/>
          <w:sz w:val="24"/>
          <w:szCs w:val="24"/>
        </w:rPr>
        <w:t xml:space="preserve">§ 20  </w:t>
      </w:r>
      <w:r>
        <w:rPr>
          <w:rFonts w:ascii="Arial" w:cs="Arial" w:eastAsia="Arial" w:hAnsi="Arial"/>
          <w:b/>
          <w:bCs/>
          <w:i w:val="false"/>
          <w:iCs w:val="false"/>
          <w:color w:val="0B0B0F"/>
          <w:sz w:val="24"/>
          <w:szCs w:val="24"/>
        </w:rPr>
        <w:t xml:space="preserve">Drittanbieter und Drittdienste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setzt zur Leistungserbringung Subunternehmer und Drittdienste ein, insbesondere die in Anlage B, Anhang 2 aufgeführten Unterauftragsverarbeiter in der jeweils nach Anlage B mitgeteilten Fassung. Die datenschutzrechtliche Einbindung richtet sich nach Anlage B (AVV).</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Für Subunternehmer und Drittdienste, deren sich NexAI zur Erfüllung ihrer Pflichten bedient, haftet NexAI </w:t>
      </w:r>
      <w:r>
        <w:rPr>
          <w:rFonts w:ascii="Arial" w:cs="Arial" w:eastAsia="Arial" w:hAnsi="Arial"/>
          <w:b/>
          <w:bCs/>
          <w:i w:val="false"/>
          <w:iCs w:val="false"/>
          <w:color w:val="1A1A1A"/>
          <w:sz w:val="21"/>
          <w:szCs w:val="21"/>
        </w:rPr>
        <w:t xml:space="preserve">wie für eigenes Verschulden (§ 278 BGB)</w:t>
      </w:r>
      <w:r>
        <w:rPr>
          <w:rFonts w:ascii="Arial" w:cs="Arial" w:eastAsia="Arial" w:hAnsi="Arial"/>
          <w:b w:val="false"/>
          <w:bCs w:val="false"/>
          <w:i w:val="false"/>
          <w:iCs w:val="false"/>
          <w:color w:val="1A1A1A"/>
          <w:sz w:val="21"/>
          <w:szCs w:val="21"/>
        </w:rPr>
        <w:t xml:space="preserve">, jeweils nach Maßgabe von § 12. Störungen öffentlicher Strom-, Telekommunikations- und Datennetze, die NexAI nicht zur Erfüllung einsetzt und nicht beherrscht, hat NexAI nicht zu vertreten.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Laufende Kosten von Drittdiensten, die dem Kunden gesondert zugeordnet sind oder die durch die vom Kunden gewählte Nutzung anfallen, trägt der Kunde, soweit nicht ausdrücklich anders vereinbart.</w:t>
      </w:r>
    </w:p>
    <w:p>
      <w:pPr>
        <w:pStyle w:val="Heading1"/>
        <w:keepNext/>
        <w:spacing w:after="100" w:before="260"/>
      </w:pPr>
      <w:r>
        <w:rPr>
          <w:rFonts w:ascii="Arial" w:cs="Arial" w:eastAsia="Arial" w:hAnsi="Arial"/>
          <w:b/>
          <w:bCs/>
          <w:color w:val="1F3A8A"/>
          <w:sz w:val="24"/>
          <w:szCs w:val="24"/>
        </w:rPr>
        <w:t xml:space="preserve">§ 21  </w:t>
      </w:r>
      <w:r>
        <w:rPr>
          <w:rFonts w:ascii="Arial" w:cs="Arial" w:eastAsia="Arial" w:hAnsi="Arial"/>
          <w:b/>
          <w:bCs/>
          <w:i w:val="false"/>
          <w:iCs w:val="false"/>
          <w:color w:val="0B0B0F"/>
          <w:sz w:val="24"/>
          <w:szCs w:val="24"/>
        </w:rPr>
        <w:t xml:space="preserve">Vertragsende und Offboarding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Nach Beendigung des Vertrags stellt NexAI dem Kunden die ihm zugeordneten Daten </w:t>
      </w:r>
      <w:r>
        <w:rPr>
          <w:rFonts w:ascii="Arial" w:cs="Arial" w:eastAsia="Arial" w:hAnsi="Arial"/>
          <w:b/>
          <w:bCs/>
          <w:i w:val="false"/>
          <w:iCs w:val="false"/>
          <w:color w:val="1A1A1A"/>
          <w:sz w:val="21"/>
          <w:szCs w:val="21"/>
        </w:rPr>
        <w:t xml:space="preserve">dreißig (30) Tage lang zum Export</w:t>
      </w:r>
      <w:r>
        <w:rPr>
          <w:rFonts w:ascii="Arial" w:cs="Arial" w:eastAsia="Arial" w:hAnsi="Arial"/>
          <w:b w:val="false"/>
          <w:bCs w:val="false"/>
          <w:i w:val="false"/>
          <w:iCs w:val="false"/>
          <w:color w:val="1A1A1A"/>
          <w:sz w:val="21"/>
          <w:szCs w:val="21"/>
        </w:rPr>
        <w:t xml:space="preserve"> bereit: strukturierte Daten in einem gängigen, maschinenlesbaren Format (</w:t>
      </w:r>
      <w:r>
        <w:rPr>
          <w:rFonts w:ascii="Arial" w:cs="Arial" w:eastAsia="Arial" w:hAnsi="Arial"/>
          <w:b/>
          <w:bCs/>
          <w:i w:val="false"/>
          <w:iCs w:val="false"/>
          <w:color w:val="1A1A1A"/>
          <w:sz w:val="21"/>
          <w:szCs w:val="21"/>
        </w:rPr>
        <w:t xml:space="preserve">CSV/JSON</w:t>
      </w:r>
      <w:r>
        <w:rPr>
          <w:rFonts w:ascii="Arial" w:cs="Arial" w:eastAsia="Arial" w:hAnsi="Arial"/>
          <w:b w:val="false"/>
          <w:bCs w:val="false"/>
          <w:i w:val="false"/>
          <w:iCs w:val="false"/>
          <w:color w:val="1A1A1A"/>
          <w:sz w:val="21"/>
          <w:szCs w:val="21"/>
        </w:rPr>
        <w:t xml:space="preserve">) und die in den Anwendungen abgelegten Dateien als gesondertes Paket. Der Kunde kann stattdessen die sofortige Löschung verlangen. Nach Ablauf der Frist oder nach bestätigtem Erhalt des Exports löscht NexAI die Daten nach Anlage B § 12 und übersendet unaufgefordert eine </w:t>
      </w:r>
      <w:r>
        <w:rPr>
          <w:rFonts w:ascii="Arial" w:cs="Arial" w:eastAsia="Arial" w:hAnsi="Arial"/>
          <w:b/>
          <w:bCs/>
          <w:i w:val="false"/>
          <w:iCs w:val="false"/>
          <w:color w:val="1A1A1A"/>
          <w:sz w:val="21"/>
          <w:szCs w:val="21"/>
        </w:rPr>
        <w:t xml:space="preserve">Löschbestätigung</w:t>
      </w:r>
      <w:r>
        <w:rPr>
          <w:rFonts w:ascii="Arial" w:cs="Arial" w:eastAsia="Arial" w:hAnsi="Arial"/>
          <w:b w:val="false"/>
          <w:bCs w:val="false"/>
          <w:i w:val="false"/>
          <w:iCs w:val="false"/>
          <w:color w:val="1A1A1A"/>
          <w:sz w:val="21"/>
          <w:szCs w:val="21"/>
        </w:rPr>
        <w:t xml:space="preserve"> in Textform.</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Von NexAI bereitgestellte </w:t>
      </w:r>
      <w:r>
        <w:rPr>
          <w:rFonts w:ascii="Arial" w:cs="Arial" w:eastAsia="Arial" w:hAnsi="Arial"/>
          <w:b/>
          <w:bCs/>
          <w:i w:val="false"/>
          <w:iCs w:val="false"/>
          <w:color w:val="1A1A1A"/>
          <w:sz w:val="21"/>
          <w:szCs w:val="21"/>
        </w:rPr>
        <w:t xml:space="preserve">Rufnummern</w:t>
      </w:r>
      <w:r>
        <w:rPr>
          <w:rFonts w:ascii="Arial" w:cs="Arial" w:eastAsia="Arial" w:hAnsi="Arial"/>
          <w:b w:val="false"/>
          <w:bCs w:val="false"/>
          <w:i w:val="false"/>
          <w:iCs w:val="false"/>
          <w:color w:val="1A1A1A"/>
          <w:sz w:val="21"/>
          <w:szCs w:val="21"/>
        </w:rPr>
        <w:t xml:space="preserve"> werden auf Wunsch des Kunden </w:t>
      </w:r>
      <w:r>
        <w:rPr>
          <w:rFonts w:ascii="Arial" w:cs="Arial" w:eastAsia="Arial" w:hAnsi="Arial"/>
          <w:b/>
          <w:bCs/>
          <w:i w:val="false"/>
          <w:iCs w:val="false"/>
          <w:color w:val="1A1A1A"/>
          <w:sz w:val="21"/>
          <w:szCs w:val="21"/>
        </w:rPr>
        <w:t xml:space="preserve">zurückportiert</w:t>
      </w:r>
      <w:r>
        <w:rPr>
          <w:rFonts w:ascii="Arial" w:cs="Arial" w:eastAsia="Arial" w:hAnsi="Arial"/>
          <w:b w:val="false"/>
          <w:bCs w:val="false"/>
          <w:i w:val="false"/>
          <w:iCs w:val="false"/>
          <w:color w:val="1A1A1A"/>
          <w:sz w:val="21"/>
          <w:szCs w:val="21"/>
        </w:rPr>
        <w:t xml:space="preserve">. Bis zum Abschluss der Portierung hält NexAI die betreffende Rufnummer im erforderlichen Umfang aufrecht (</w:t>
      </w:r>
      <w:r>
        <w:rPr>
          <w:rFonts w:ascii="Arial" w:cs="Arial" w:eastAsia="Arial" w:hAnsi="Arial"/>
          <w:b/>
          <w:bCs/>
          <w:i w:val="false"/>
          <w:iCs w:val="false"/>
          <w:color w:val="1A1A1A"/>
          <w:sz w:val="21"/>
          <w:szCs w:val="21"/>
        </w:rPr>
        <w:t xml:space="preserve">Keep-Alive</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 </w:t>
      </w:r>
      <w:r>
        <w:rPr>
          <w:rFonts w:ascii="Arial" w:cs="Arial" w:eastAsia="Arial" w:hAnsi="Arial"/>
          <w:b/>
          <w:bCs/>
          <w:i w:val="false"/>
          <w:iCs w:val="false"/>
          <w:color w:val="1A1A1A"/>
          <w:sz w:val="21"/>
          <w:szCs w:val="21"/>
        </w:rPr>
        <w:t xml:space="preserve">kundeneigenen Accounts</w:t>
      </w:r>
      <w:r>
        <w:rPr>
          <w:rFonts w:ascii="Arial" w:cs="Arial" w:eastAsia="Arial" w:hAnsi="Arial"/>
          <w:b w:val="false"/>
          <w:bCs w:val="false"/>
          <w:i w:val="false"/>
          <w:iCs w:val="false"/>
          <w:color w:val="1A1A1A"/>
          <w:sz w:val="21"/>
          <w:szCs w:val="21"/>
        </w:rPr>
        <w:t xml:space="preserve"> (§ 11 Abs. 3) erfolgt das Offboarding in folgender Reihenfolge: (a) Export der Daten, (b) Entfernung des geistigen Eigentums und der Betriebsmittel von NexAI (Prompts, Workflows, Konfigurationen, Skripte), (c) Entzug der Zugriffe von NexAI auf die kundeneigenen Accounts.</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Für die Erstattung im Voraus gezahlter Beiträge im Jahresmodell gilt § 8 Abs. (2). § 22 (Höhere Gewalt) bleibt unberührt.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Hat der Kunde in einer Anwendung Rechnungen oder andere Buchungsbelege erstellt, stellt NexAI sie im Export zusätzlich in ihrer Originalform (PDF/A-3 und strukturierte Rechnungsdaten) und, soweit die Anwendung es unterstützt, im DATEV-Format bereit. Die Aufbewahrung nach § 147 AO, § 14b UStG und § 257 HGB obliegt ab Vertragsende dem Kunden.</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Für Anwendungen, die der Kunde als Kauflizenz selbst betreibt, gelten die Absätze (1) und (5) nicht; die Daten liegen beim Kunden. NexAI gibt die Wartungszugänge zurück und löscht bei ihr gespeicherte Zugangsdaten (Anlage E Ziffer 5).</w:t>
      </w:r>
    </w:p>
    <w:p>
      <w:pPr>
        <w:pStyle w:val="Heading1"/>
        <w:keepNext/>
        <w:spacing w:after="100" w:before="260"/>
      </w:pPr>
      <w:r>
        <w:rPr>
          <w:rFonts w:ascii="Arial" w:cs="Arial" w:eastAsia="Arial" w:hAnsi="Arial"/>
          <w:b/>
          <w:bCs/>
          <w:color w:val="1F3A8A"/>
          <w:sz w:val="24"/>
          <w:szCs w:val="24"/>
        </w:rPr>
        <w:t xml:space="preserve">§ 22  </w:t>
      </w:r>
      <w:r>
        <w:rPr>
          <w:rFonts w:ascii="Arial" w:cs="Arial" w:eastAsia="Arial" w:hAnsi="Arial"/>
          <w:b/>
          <w:bCs/>
          <w:i w:val="false"/>
          <w:iCs w:val="false"/>
          <w:color w:val="0B0B0F"/>
          <w:sz w:val="24"/>
          <w:szCs w:val="24"/>
        </w:rPr>
        <w:t xml:space="preserve">Höhere Gewalt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Keine Partei haftet für die Nichterfüllung oder verzögerte Erfüllung ihrer Pflichten, soweit diese auf Ereignissen beruht, die außerhalb ihres Einflussbereichs liegen und die sie auch mit zumutbaren, dem Stand der Technik entsprechenden Vorkehrungen nicht verhindern konnte (</w:t>
      </w:r>
      <w:r>
        <w:rPr>
          <w:rFonts w:ascii="Arial" w:cs="Arial" w:eastAsia="Arial" w:hAnsi="Arial"/>
          <w:b/>
          <w:bCs/>
          <w:i w:val="false"/>
          <w:iCs w:val="false"/>
          <w:color w:val="1A1A1A"/>
          <w:sz w:val="21"/>
          <w:szCs w:val="21"/>
        </w:rPr>
        <w:t xml:space="preserve">höhere Gewalt</w:t>
      </w:r>
      <w:r>
        <w:rPr>
          <w:rFonts w:ascii="Arial" w:cs="Arial" w:eastAsia="Arial" w:hAnsi="Arial"/>
          <w:b w:val="false"/>
          <w:bCs w:val="false"/>
          <w:i w:val="false"/>
          <w:iCs w:val="false"/>
          <w:color w:val="1A1A1A"/>
          <w:sz w:val="21"/>
          <w:szCs w:val="21"/>
        </w:rPr>
        <w:t xml:space="preserve">), insbesondere Naturereignisse, Pandemien, Krieg, Terror, Arbeitskämpfe Dritter, behördliche Anordnungen sowie großflächige Ausfälle öffentlicher Strom- oder Telekommunikationsnetze. Cyberangriffe und Ausfälle von Subunternehmern gelten nur dann als höhere Gewalt, wenn NexAI sie trotz der Maßnahmen nach Anlage B und trotz sorgfältiger Auswahl und Überwachung nicht verhindern konnte.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Für die Dauer eines Ereignisses höherer Gewalt sind die betroffenen </w:t>
      </w:r>
      <w:r>
        <w:rPr>
          <w:rFonts w:ascii="Arial" w:cs="Arial" w:eastAsia="Arial" w:hAnsi="Arial"/>
          <w:b/>
          <w:bCs/>
          <w:i w:val="false"/>
          <w:iCs w:val="false"/>
          <w:color w:val="1A1A1A"/>
          <w:sz w:val="21"/>
          <w:szCs w:val="21"/>
        </w:rPr>
        <w:t xml:space="preserve">Leistungs- und die entsprechenden Zahlungspflichten ausgesetzt</w:t>
      </w:r>
      <w:r>
        <w:rPr>
          <w:rFonts w:ascii="Arial" w:cs="Arial" w:eastAsia="Arial" w:hAnsi="Arial"/>
          <w:b w:val="false"/>
          <w:bCs w:val="false"/>
          <w:i w:val="false"/>
          <w:iCs w:val="false"/>
          <w:color w:val="1A1A1A"/>
          <w:sz w:val="21"/>
          <w:szCs w:val="21"/>
        </w:rPr>
        <w:t xml:space="preserve">. Die betroffene Partei informiert die andere Partei unverzüglich.</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Dauert das Ereignis höherer Gewalt länger als </w:t>
      </w:r>
      <w:r>
        <w:rPr>
          <w:rFonts w:ascii="Arial" w:cs="Arial" w:eastAsia="Arial" w:hAnsi="Arial"/>
          <w:b/>
          <w:bCs/>
          <w:i w:val="false"/>
          <w:iCs w:val="false"/>
          <w:color w:val="1A1A1A"/>
          <w:sz w:val="21"/>
          <w:szCs w:val="21"/>
        </w:rPr>
        <w:t xml:space="preserve">dreißig (30) Tage</w:t>
      </w:r>
      <w:r>
        <w:rPr>
          <w:rFonts w:ascii="Arial" w:cs="Arial" w:eastAsia="Arial" w:hAnsi="Arial"/>
          <w:b w:val="false"/>
          <w:bCs w:val="false"/>
          <w:i w:val="false"/>
          <w:iCs w:val="false"/>
          <w:color w:val="1A1A1A"/>
          <w:sz w:val="21"/>
          <w:szCs w:val="21"/>
        </w:rPr>
        <w:t xml:space="preserve"> an, ist jede Partei berechtigt, den betroffenen Vertrag mit sofortiger Wirkung zu </w:t>
      </w:r>
      <w:r>
        <w:rPr>
          <w:rFonts w:ascii="Arial" w:cs="Arial" w:eastAsia="Arial" w:hAnsi="Arial"/>
          <w:b/>
          <w:bCs/>
          <w:i w:val="false"/>
          <w:iCs w:val="false"/>
          <w:color w:val="1A1A1A"/>
          <w:sz w:val="21"/>
          <w:szCs w:val="21"/>
        </w:rPr>
        <w:t xml:space="preserve">kündigen</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Bereits im Voraus gezahlte Beiträge für nachweislich </w:t>
      </w:r>
      <w:r>
        <w:rPr>
          <w:rFonts w:ascii="Arial" w:cs="Arial" w:eastAsia="Arial" w:hAnsi="Arial"/>
          <w:b/>
          <w:bCs/>
          <w:i w:val="false"/>
          <w:iCs w:val="false"/>
          <w:color w:val="1A1A1A"/>
          <w:sz w:val="21"/>
          <w:szCs w:val="21"/>
        </w:rPr>
        <w:t xml:space="preserve">nicht erbrachte Leistungszeiträume</w:t>
      </w:r>
      <w:r>
        <w:rPr>
          <w:rFonts w:ascii="Arial" w:cs="Arial" w:eastAsia="Arial" w:hAnsi="Arial"/>
          <w:b w:val="false"/>
          <w:bCs w:val="false"/>
          <w:i w:val="false"/>
          <w:iCs w:val="false"/>
          <w:color w:val="1A1A1A"/>
          <w:sz w:val="21"/>
          <w:szCs w:val="21"/>
        </w:rPr>
        <w:t xml:space="preserve"> werden dem Kunden in diesem Fall </w:t>
      </w:r>
      <w:r>
        <w:rPr>
          <w:rFonts w:ascii="Arial" w:cs="Arial" w:eastAsia="Arial" w:hAnsi="Arial"/>
          <w:b/>
          <w:bCs/>
          <w:i w:val="false"/>
          <w:iCs w:val="false"/>
          <w:color w:val="1A1A1A"/>
          <w:sz w:val="21"/>
          <w:szCs w:val="21"/>
        </w:rPr>
        <w:t xml:space="preserve">anteilig zurückerstattet</w:t>
      </w:r>
      <w:r>
        <w:rPr>
          <w:rFonts w:ascii="Arial" w:cs="Arial" w:eastAsia="Arial" w:hAnsi="Arial"/>
          <w:b w:val="false"/>
          <w:bCs w:val="false"/>
          <w:i w:val="false"/>
          <w:iCs w:val="false"/>
          <w:color w:val="1A1A1A"/>
          <w:sz w:val="21"/>
          <w:szCs w:val="21"/>
        </w:rPr>
        <w:t xml:space="preserve">.</w:t>
      </w:r>
    </w:p>
    <w:p>
      <w:pPr>
        <w:pStyle w:val="Heading1"/>
        <w:keepNext/>
        <w:spacing w:after="100" w:before="260"/>
      </w:pPr>
      <w:r>
        <w:rPr>
          <w:rFonts w:ascii="Arial" w:cs="Arial" w:eastAsia="Arial" w:hAnsi="Arial"/>
          <w:b/>
          <w:bCs/>
          <w:color w:val="1F3A8A"/>
          <w:sz w:val="24"/>
          <w:szCs w:val="24"/>
        </w:rPr>
        <w:t xml:space="preserve">§ 23  </w:t>
      </w:r>
      <w:r>
        <w:rPr>
          <w:rFonts w:ascii="Arial" w:cs="Arial" w:eastAsia="Arial" w:hAnsi="Arial"/>
          <w:b/>
          <w:bCs/>
          <w:i w:val="false"/>
          <w:iCs w:val="false"/>
          <w:color w:val="0B0B0F"/>
          <w:sz w:val="24"/>
          <w:szCs w:val="24"/>
        </w:rPr>
        <w:t xml:space="preserve">Verfügbarkeit</w:t>
      </w:r>
    </w:p>
    <w:p>
      <w:pPr>
        <w:spacing w:after="120" w:line="276"/>
        <w:jc w:val="both"/>
      </w:pPr>
      <w:r>
        <w:rPr>
          <w:rFonts w:ascii="Arial" w:cs="Arial" w:eastAsia="Arial" w:hAnsi="Arial"/>
          <w:b w:val="false"/>
          <w:bCs w:val="false"/>
          <w:i w:val="false"/>
          <w:iCs w:val="false"/>
          <w:color w:val="1A1A1A"/>
          <w:sz w:val="21"/>
          <w:szCs w:val="21"/>
        </w:rPr>
        <w:t xml:space="preserve">Die Verfügbarkeit der von NexAI betriebenen Anwendungen und der von NexAI betriebenen Vermittlungsschicht der Agenten ist in Anlage C Ziffer 7 als </w:t>
      </w:r>
      <w:r>
        <w:rPr>
          <w:rFonts w:ascii="Arial" w:cs="Arial" w:eastAsia="Arial" w:hAnsi="Arial"/>
          <w:b/>
          <w:bCs/>
          <w:i w:val="false"/>
          <w:iCs w:val="false"/>
          <w:color w:val="1A1A1A"/>
          <w:sz w:val="21"/>
          <w:szCs w:val="21"/>
        </w:rPr>
        <w:t xml:space="preserve">Beschaffenheit</w:t>
      </w:r>
      <w:r>
        <w:rPr>
          <w:rFonts w:ascii="Arial" w:cs="Arial" w:eastAsia="Arial" w:hAnsi="Arial"/>
          <w:b w:val="false"/>
          <w:bCs w:val="false"/>
          <w:i w:val="false"/>
          <w:iCs w:val="false"/>
          <w:color w:val="1A1A1A"/>
          <w:sz w:val="21"/>
          <w:szCs w:val="21"/>
        </w:rPr>
        <w:t xml:space="preserve"> vereinbart; dort sind auch die Folgen einer Unterschreitung geregelt. Eine Garantie im Sinne einer verschuldensunabhängigen Einstandspflicht ist damit nicht verbunden. Im Übrigen, insbesondere für die Verarbeitung durch Drittdienste, schuldet NexAI ein fachgerechtes Bemühen um einen möglichst störungsfreien Betrieb. Wartungsfenster und Reaktionszeiten ergeben sich aus Anlage C (SLA). Für Anwendungen, die der Kunde als Kauflizenz selbst betreibt, gibt NexAI keine Verfügbarkeitszusage (Anlage C Ziffer 12).</w:t>
      </w:r>
    </w:p>
    <w:p>
      <w:pPr>
        <w:pStyle w:val="Heading1"/>
        <w:keepNext/>
        <w:spacing w:after="100" w:before="260"/>
      </w:pPr>
      <w:r>
        <w:rPr>
          <w:rFonts w:ascii="Arial" w:cs="Arial" w:eastAsia="Arial" w:hAnsi="Arial"/>
          <w:b/>
          <w:bCs/>
          <w:color w:val="1F3A8A"/>
          <w:sz w:val="24"/>
          <w:szCs w:val="24"/>
        </w:rPr>
        <w:t xml:space="preserve">§ 24  </w:t>
      </w:r>
      <w:r>
        <w:rPr>
          <w:rFonts w:ascii="Arial" w:cs="Arial" w:eastAsia="Arial" w:hAnsi="Arial"/>
          <w:b/>
          <w:bCs/>
          <w:i w:val="false"/>
          <w:iCs w:val="false"/>
          <w:color w:val="0B0B0F"/>
          <w:sz w:val="24"/>
          <w:szCs w:val="24"/>
        </w:rPr>
        <w:t xml:space="preserve">Schlussbestimmungen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Textform:</w:t>
      </w:r>
      <w:r>
        <w:rPr>
          <w:rFonts w:ascii="Arial" w:cs="Arial" w:eastAsia="Arial" w:hAnsi="Arial"/>
          <w:b w:val="false"/>
          <w:bCs w:val="false"/>
          <w:i w:val="false"/>
          <w:iCs w:val="false"/>
          <w:color w:val="1A1A1A"/>
          <w:sz w:val="21"/>
          <w:szCs w:val="21"/>
        </w:rPr>
        <w:t xml:space="preserve"> Erklärungen des Kunden mit Vertragsrelevanz, insbesondere Kündigungen, Widersprüche und Sonderkündigungen, bedürfen mindestens der Textform (§ 126b BGB).</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Vorrang von Individualabreden:</w:t>
      </w:r>
      <w:r>
        <w:rPr>
          <w:rFonts w:ascii="Arial" w:cs="Arial" w:eastAsia="Arial" w:hAnsi="Arial"/>
          <w:b w:val="false"/>
          <w:bCs w:val="false"/>
          <w:i w:val="false"/>
          <w:iCs w:val="false"/>
          <w:color w:val="1A1A1A"/>
          <w:sz w:val="21"/>
          <w:szCs w:val="21"/>
        </w:rPr>
        <w:t xml:space="preserve"> Individuell ausgehandelte Abreden gehen den Regelungen dieses Rahmenvertrags und der Anlagen vor (§ 305b BGB).</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Abwehrklausel:</w:t>
      </w:r>
      <w:r>
        <w:rPr>
          <w:rFonts w:ascii="Arial" w:cs="Arial" w:eastAsia="Arial" w:hAnsi="Arial"/>
          <w:b w:val="false"/>
          <w:bCs w:val="false"/>
          <w:i w:val="false"/>
          <w:iCs w:val="false"/>
          <w:color w:val="1A1A1A"/>
          <w:sz w:val="21"/>
          <w:szCs w:val="21"/>
        </w:rPr>
        <w:t xml:space="preserve"> Allgemeine Geschäfts- oder Einkaufsbedingungen des Kunden finden keine Anwendung, auch wenn NexAI ihnen nicht ausdrücklich widerspricht oder in Kenntnis solcher Bedingungen Leistungen erbringt.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Abtretung / Vertragsübernahme:</w:t>
      </w:r>
      <w:r>
        <w:rPr>
          <w:rFonts w:ascii="Arial" w:cs="Arial" w:eastAsia="Arial" w:hAnsi="Arial"/>
          <w:b w:val="false"/>
          <w:bCs w:val="false"/>
          <w:i w:val="false"/>
          <w:iCs w:val="false"/>
          <w:color w:val="1A1A1A"/>
          <w:sz w:val="21"/>
          <w:szCs w:val="21"/>
        </w:rPr>
        <w:t xml:space="preserve"> Der Kunde kann Rechte und Pflichten aus diesem Vertrag nur mit vorheriger Zustimmung von NexAI in Textform auf Dritte übertragen; § 354a HGB bleibt unberührt. NexAI ist berechtigt, zur Leistungserbringung Subunternehmer einzusetzen (§ 20).</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Salvatorische Klausel:</w:t>
      </w:r>
      <w:r>
        <w:rPr>
          <w:rFonts w:ascii="Arial" w:cs="Arial" w:eastAsia="Arial" w:hAnsi="Arial"/>
          <w:b w:val="false"/>
          <w:bCs w:val="false"/>
          <w:i w:val="false"/>
          <w:iCs w:val="false"/>
          <w:color w:val="1A1A1A"/>
          <w:sz w:val="21"/>
          <w:szCs w:val="21"/>
        </w:rPr>
        <w:t xml:space="preserve"> Sollten einzelne Bestimmungen ganz oder teilweise unwirksam oder undurchführbar sein oder werden, bleibt die Wirksamkeit der übrigen Bestimmungen unberührt. Soweit es sich um Allgemeine Geschäftsbedingungen handelt, richtet sich der Vertragsinhalt an ihrer Stelle nach den gesetzlichen Vorschriften (§ 306 Abs. 2 BGB). Für individuell ausgehandelte Bestimmungen vereinbaren die Parteien eine Regelung, die dem wirtschaftlich Gewollten am nächsten kommt.</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bCs/>
          <w:i w:val="false"/>
          <w:iCs w:val="false"/>
          <w:color w:val="1A1A1A"/>
          <w:sz w:val="21"/>
          <w:szCs w:val="21"/>
        </w:rPr>
        <w:t xml:space="preserve">Anwendbares Recht:</w:t>
      </w:r>
      <w:r>
        <w:rPr>
          <w:rFonts w:ascii="Arial" w:cs="Arial" w:eastAsia="Arial" w:hAnsi="Arial"/>
          <w:b w:val="false"/>
          <w:bCs w:val="false"/>
          <w:i w:val="false"/>
          <w:iCs w:val="false"/>
          <w:color w:val="1A1A1A"/>
          <w:sz w:val="21"/>
          <w:szCs w:val="21"/>
        </w:rPr>
        <w:t xml:space="preserve"> Es gilt das Recht der Bundesrepublik Deutschland unter Ausschluss des UN-Kaufrechts (CISG).</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bCs/>
          <w:i w:val="false"/>
          <w:iCs w:val="false"/>
          <w:color w:val="1A1A1A"/>
          <w:sz w:val="21"/>
          <w:szCs w:val="21"/>
        </w:rPr>
        <w:t xml:space="preserve">Gerichtsstand:</w:t>
      </w:r>
      <w:r>
        <w:rPr>
          <w:rFonts w:ascii="Arial" w:cs="Arial" w:eastAsia="Arial" w:hAnsi="Arial"/>
          <w:b w:val="false"/>
          <w:bCs w:val="false"/>
          <w:i w:val="false"/>
          <w:iCs w:val="false"/>
          <w:color w:val="1A1A1A"/>
          <w:sz w:val="21"/>
          <w:szCs w:val="21"/>
        </w:rPr>
        <w:t xml:space="preserve"> Sind beide Parteien Kaufleute oder ist der Kunde eine juristische Person des öffentlichen Rechts oder ein öffentlich-rechtliches Sondervermögen, ist Gerichtsstand für alle Streitigkeiten aus und im Zusammenhang mit diesem Vertrag der </w:t>
      </w:r>
      <w:r>
        <w:rPr>
          <w:rFonts w:ascii="Arial" w:cs="Arial" w:eastAsia="Arial" w:hAnsi="Arial"/>
          <w:b/>
          <w:bCs/>
          <w:i w:val="false"/>
          <w:iCs w:val="false"/>
          <w:color w:val="1A1A1A"/>
          <w:sz w:val="21"/>
          <w:szCs w:val="21"/>
        </w:rPr>
        <w:t xml:space="preserve">Sitz von NexAI</w:t>
      </w:r>
      <w:r>
        <w:rPr>
          <w:rFonts w:ascii="Arial" w:cs="Arial" w:eastAsia="Arial" w:hAnsi="Arial"/>
          <w:b w:val="false"/>
          <w:bCs w:val="false"/>
          <w:i w:val="false"/>
          <w:iCs w:val="false"/>
          <w:color w:val="1A1A1A"/>
          <w:sz w:val="21"/>
          <w:szCs w:val="21"/>
        </w:rPr>
        <w:t xml:space="preserve">; NexAI kann den Kunden auch an seinem allgemeinen Gerichtsstand verklagen. Dasselbe gilt, wenn der Kunde keinen allgemeinen Gerichtsstand im Inland hat. Im Übrigen gelten die gesetzlichen Gerichtsstände.</w:t>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spacing w:after="32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Funktion (Gesellschafter oder in Vollmacht für NexAI)</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Auftragsformular / Leistungsschein</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Leistungsschein zum Rahmenvertrag über KI-Agenten und Anwendungen</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Dieses Auftragsformular (nachfolgend "Leistungsschein") konkretisiert die konkret beauftragten Leistungen, Beträge und Rahmenbedingungen zwischen den nachstehenden Parteien. Er ist ein </w:t>
      </w:r>
      <w:r>
        <w:rPr>
          <w:rFonts w:ascii="Arial" w:cs="Arial" w:eastAsia="Arial" w:hAnsi="Arial"/>
          <w:b/>
          <w:bCs/>
          <w:i w:val="false"/>
          <w:iCs w:val="false"/>
          <w:color w:val="1A1A1A"/>
          <w:sz w:val="21"/>
          <w:szCs w:val="21"/>
        </w:rPr>
        <w:t xml:space="preserve">Vertragsdokument</w:t>
      </w:r>
      <w:r>
        <w:rPr>
          <w:rFonts w:ascii="Arial" w:cs="Arial" w:eastAsia="Arial" w:hAnsi="Arial"/>
          <w:b w:val="false"/>
          <w:bCs w:val="false"/>
          <w:i w:val="false"/>
          <w:iCs w:val="false"/>
          <w:color w:val="1A1A1A"/>
          <w:sz w:val="21"/>
          <w:szCs w:val="21"/>
        </w:rPr>
        <w:t xml:space="preserve"> im Sinne des Rahmenvertrags. Bei Widersprüchen zwischen diesem Leistungsschein, dem Rahmenvertrag, den Anlagen und den AGB (B2B) gilt die im Rahmenvertrag festgelegte Rangfolge. Die in diesem Leistungsschein individuell ausgehandelten Eintragungen gehen den übrigen Vertragsdokumenten nach § 305b BGB vor.</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Vertragsparteien</w:t>
      </w:r>
    </w:p>
    <w:p>
      <w:pPr>
        <w:pStyle w:val="Heading2"/>
        <w:keepNext/>
        <w:spacing w:after="80" w:before="160"/>
      </w:pPr>
      <w:r>
        <w:rPr>
          <w:rFonts w:ascii="Arial" w:cs="Arial" w:eastAsia="Arial" w:hAnsi="Arial"/>
          <w:b/>
          <w:bCs/>
          <w:i w:val="false"/>
          <w:iCs w:val="false"/>
          <w:color w:val="0B0B0F"/>
          <w:sz w:val="21"/>
          <w:szCs w:val="21"/>
        </w:rPr>
        <w:t xml:space="preserve">Auftragnehmer ("NexAI")</w:t>
      </w:r>
    </w:p>
    <w:p>
      <w:pPr>
        <w:spacing w:after="120" w:line="276"/>
        <w:jc w:val="both"/>
      </w:pPr>
      <w:r>
        <w:rPr>
          <w:rFonts w:ascii="Arial" w:cs="Arial" w:eastAsia="Arial" w:hAnsi="Arial"/>
          <w:b w:val="false"/>
          <w:bCs w:val="false"/>
          <w:i w:val="false"/>
          <w:iCs w:val="false"/>
          <w:color w:val="1A1A1A"/>
          <w:sz w:val="21"/>
          <w:szCs w:val="21"/>
        </w:rPr>
        <w:t xml:space="preserve">NexAI – Next Generation Artificial Intelligence GbR, Untere Bergstraße 13, 74586 Frankenhardt-Honhardt, Deutschland, vertreten durch die Gesellschafter Maximilian Trenk und Jason Brian Merklein, jeder allein (§ 720 Abs. 2 BGB), oder durch eine bevollmächtigte Person (Ziffer 16 des Leistungsscheins), E-Mail mbt@nex-a-i.com, Telefon 0176 80714816.</w:t>
      </w:r>
    </w:p>
    <w:p>
      <w:pPr>
        <w:pStyle w:val="Heading2"/>
        <w:keepNext/>
        <w:spacing w:after="80" w:before="160"/>
      </w:pPr>
      <w:r>
        <w:rPr>
          <w:rFonts w:ascii="Arial" w:cs="Arial" w:eastAsia="Arial" w:hAnsi="Arial"/>
          <w:b/>
          <w:bCs/>
          <w:i w:val="false"/>
          <w:iCs w:val="false"/>
          <w:color w:val="0B0B0F"/>
          <w:sz w:val="21"/>
          <w:szCs w:val="21"/>
        </w:rPr>
        <w:t xml:space="preserve">Auftraggeber ("Kunde")</w:t>
      </w:r>
    </w:p>
    <w:p>
      <w:pPr>
        <w:spacing w:after="120"/>
      </w:pPr>
      <w:r>
        <w:rPr>
          <w:rFonts w:ascii="Arial" w:cs="Arial" w:eastAsia="Arial" w:hAnsi="Arial"/>
          <w:b/>
          <w:bCs/>
          <w:color w:val="1A1A1A"/>
          <w:sz w:val="21"/>
          <w:szCs w:val="21"/>
        </w:rPr>
        <w:t xml:space="preserve">Firma / Unternehmen: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Rechtsform: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Ansprechpartner / Funktion: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(Straße, Hausnr.):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PLZ / Ort: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Land: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E-Mail: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Rechnungs-E-Mail-Adresse (für Rechnungen und Mahnungen):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Telefon: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USt-IdNr. / Steuernummer: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Handelsregister / Registergericht (soweit vorhanden):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Der Kunde bestätigt, den Vertrag als Unternehmer im Sinne des § 14 BGB in Ausübung seiner gewerblichen oder selbständigen beruflichen Tätigkeit abzuschließen (B2B).</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Bezug zum Rahmenvertrag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Diesem Leistungsschein liegt der zwischen den Parteien geschlossene Rahmenvertrag über KI-Agenten und Anwendungen (nachfolgend "Rahmenvertrag") nebst seinen Anlagen zugrunde. Die dort definierten Begriffe gelten in diesem Leistungsschein einheitlich.</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Mit Unterzeichnung dieses Leistungsscheins bestätigt der Kunde, dass ihm der Rahmenvertrag, die AGB (B2B) sowie die Anlagen A (Leistungsbeschreibung), B (AVV), C (SLA), D (Abnahmeprotokoll) und, soweit eine Kauflizenz oder Projektanwendung beauftragt ist, E (Kauflizenz und Projektanwendungen) vorliegen und Vertragsbestandteil sind.</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datenschutzrechtliche Rollenverteilung (Verantwortlicher / Auftragsverarbeiter) richtet sich nach Anlage B (AVV); die Rollenverteilung nach der KI-VO ergibt sich aus Ziffer 4 dieses Leistungsscheins.</w:t>
      </w:r>
    </w:p>
    <w:p>
      <w:pPr>
        <w:spacing w:after="120"/>
      </w:pPr>
      <w:r>
        <w:rPr>
          <w:rFonts w:ascii="Arial" w:cs="Arial" w:eastAsia="Arial" w:hAnsi="Arial"/>
          <w:b/>
          <w:bCs/>
          <w:color w:val="1A1A1A"/>
          <w:sz w:val="21"/>
          <w:szCs w:val="21"/>
        </w:rPr>
        <w:t xml:space="preserve">Rahmenvertrag vom / Version: </w:t>
      </w:r>
      <w:r>
        <w:rPr>
          <w:rFonts w:ascii="Arial" w:cs="Arial" w:eastAsia="Arial" w:hAnsi="Arial"/>
          <w:color w:val="6B7280"/>
          <w:sz w:val="21"/>
          <w:szCs w:val="21"/>
          <w:u w:val="single"/>
        </w:rPr>
        <w:t xml:space="preserve">                                                </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Beauftragte Leistungen</w:t>
      </w:r>
    </w:p>
    <w:p>
      <w:pPr>
        <w:spacing w:after="120" w:line="276"/>
        <w:jc w:val="both"/>
      </w:pPr>
      <w:r>
        <w:rPr>
          <w:rFonts w:ascii="Arial" w:cs="Arial" w:eastAsia="Arial" w:hAnsi="Arial"/>
          <w:b w:val="false"/>
          <w:bCs w:val="false"/>
          <w:i w:val="false"/>
          <w:iCs w:val="false"/>
          <w:color w:val="1A1A1A"/>
          <w:sz w:val="21"/>
          <w:szCs w:val="21"/>
        </w:rPr>
        <w:t xml:space="preserve">Der Kunde beauftragt die nachfolgend angekreuzten Leistungen. Die nähere Beschreibung ergibt sich aus Anlage A (Leistungsbeschreibung).</w:t>
      </w:r>
    </w:p>
    <w:p>
      <w:pPr>
        <w:pStyle w:val="Heading2"/>
        <w:keepNext/>
        <w:spacing w:after="80" w:before="160"/>
      </w:pPr>
      <w:r>
        <w:rPr>
          <w:rFonts w:ascii="Arial" w:cs="Arial" w:eastAsia="Arial" w:hAnsi="Arial"/>
          <w:b/>
          <w:bCs/>
          <w:i w:val="false"/>
          <w:iCs w:val="false"/>
          <w:color w:val="0B0B0F"/>
          <w:sz w:val="21"/>
          <w:szCs w:val="21"/>
        </w:rPr>
        <w:t xml:space="preserve">3.1 Betriebsleistungen (laufender Betrieb von Agenten und Anwendungen)</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Voice Agent</w:t>
      </w:r>
      <w:r>
        <w:rPr>
          <w:rFonts w:ascii="Arial" w:cs="Arial" w:eastAsia="Arial" w:hAnsi="Arial"/>
          <w:b w:val="false"/>
          <w:bCs w:val="false"/>
          <w:i w:val="false"/>
          <w:iCs w:val="false"/>
          <w:color w:val="1A1A1A"/>
          <w:sz w:val="21"/>
          <w:szCs w:val="21"/>
        </w:rPr>
        <w:t xml:space="preserve"> (KI-Telefonassistent für eingehende Gespräche; ausgehende Gespräche sind derzeit nicht verfügbar und nur nach gesonderter Beauftragung nach § 15 des Rahmenvertrags möglich)</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Chat Agent</w:t>
      </w:r>
      <w:r>
        <w:rPr>
          <w:rFonts w:ascii="Arial" w:cs="Arial" w:eastAsia="Arial" w:hAnsi="Arial"/>
          <w:b w:val="false"/>
          <w:bCs w:val="false"/>
          <w:i w:val="false"/>
          <w:iCs w:val="false"/>
          <w:color w:val="1A1A1A"/>
          <w:sz w:val="21"/>
          <w:szCs w:val="21"/>
        </w:rPr>
        <w:t xml:space="preserve"> (KI-Chatassistent für Website, Messenger o. Ä.)</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NexAI CRM – Betrieb durch NexAI</w:t>
      </w:r>
      <w:r>
        <w:rPr>
          <w:rFonts w:ascii="Arial" w:cs="Arial" w:eastAsia="Arial" w:hAnsi="Arial"/>
          <w:b w:val="false"/>
          <w:bCs w:val="false"/>
          <w:i w:val="false"/>
          <w:iCs w:val="false"/>
          <w:color w:val="1A1A1A"/>
          <w:sz w:val="21"/>
          <w:szCs w:val="21"/>
        </w:rPr>
        <w:t xml:space="preserve"> (Kundensystem; nur nach gesonderter Vereinbarung, Regelfall ist die Kauflizenz nach Ziffer 3.4)</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NexAI Kalender</w:t>
      </w:r>
      <w:r>
        <w:rPr>
          <w:rFonts w:ascii="Arial" w:cs="Arial" w:eastAsia="Arial" w:hAnsi="Arial"/>
          <w:b w:val="false"/>
          <w:bCs w:val="false"/>
          <w:i w:val="false"/>
          <w:iCs w:val="false"/>
          <w:color w:val="1A1A1A"/>
          <w:sz w:val="21"/>
          <w:szCs w:val="21"/>
        </w:rPr>
        <w:t xml:space="preserve"> (Online-Terminbuchung mit Bestätigung und Erinnerung)</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NexAI Mailagent</w:t>
      </w:r>
      <w:r>
        <w:rPr>
          <w:rFonts w:ascii="Arial" w:cs="Arial" w:eastAsia="Arial" w:hAnsi="Arial"/>
          <w:b w:val="false"/>
          <w:bCs w:val="false"/>
          <w:i w:val="false"/>
          <w:iCs w:val="false"/>
          <w:color w:val="1A1A1A"/>
          <w:sz w:val="21"/>
          <w:szCs w:val="21"/>
        </w:rPr>
        <w:t xml:space="preserve"> (Postfachassistent: Einstufung, Fristen, Rechnungen, Betrugsprüfung und Antwortentwürfe zur Freigabe; Angaben nach Ziffer 3.3)</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Automatisierung</w:t>
      </w:r>
      <w:r>
        <w:rPr>
          <w:rFonts w:ascii="Arial" w:cs="Arial" w:eastAsia="Arial" w:hAnsi="Arial"/>
          <w:b w:val="false"/>
          <w:bCs w:val="false"/>
          <w:i w:val="false"/>
          <w:iCs w:val="false"/>
          <w:color w:val="1A1A1A"/>
          <w:sz w:val="21"/>
          <w:szCs w:val="21"/>
        </w:rPr>
        <w:t xml:space="preserve"> (Prozess-/Workflow-Automatisierungen)</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Individuelle KI-Agenten</w:t>
      </w:r>
      <w:r>
        <w:rPr>
          <w:rFonts w:ascii="Arial" w:cs="Arial" w:eastAsia="Arial" w:hAnsi="Arial"/>
          <w:b w:val="false"/>
          <w:bCs w:val="false"/>
          <w:i w:val="false"/>
          <w:iCs w:val="false"/>
          <w:color w:val="1A1A1A"/>
          <w:sz w:val="21"/>
          <w:szCs w:val="21"/>
        </w:rPr>
        <w:t xml:space="preserve"> (kundenspezifisch entwickelte Agenten)</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NexAI App</w:t>
      </w:r>
      <w:r>
        <w:rPr>
          <w:rFonts w:ascii="Arial" w:cs="Arial" w:eastAsia="Arial" w:hAnsi="Arial"/>
          <w:b w:val="false"/>
          <w:bCs w:val="false"/>
          <w:i w:val="false"/>
          <w:iCs w:val="false"/>
          <w:color w:val="1A1A1A"/>
          <w:sz w:val="21"/>
          <w:szCs w:val="21"/>
        </w:rPr>
        <w:t xml:space="preserve"> (individuelle installierbare Anwendung für Kunden oder Beschäftigte; Betrieb und Pflege der Projektanwendung nach Anlage E Ziffer 8)</w:t>
      </w:r>
    </w:p>
    <w:p>
      <w:pPr>
        <w:pStyle w:val="Heading2"/>
        <w:keepNext/>
        <w:spacing w:after="80" w:before="160"/>
      </w:pPr>
      <w:r>
        <w:rPr>
          <w:rFonts w:ascii="Arial" w:cs="Arial" w:eastAsia="Arial" w:hAnsi="Arial"/>
          <w:b/>
          <w:bCs/>
          <w:i w:val="false"/>
          <w:iCs w:val="false"/>
          <w:color w:val="0B0B0F"/>
          <w:sz w:val="21"/>
          <w:szCs w:val="21"/>
        </w:rPr>
        <w:t xml:space="preserve">3.2 Projektleistungen (einmalige Werkleistungen)</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Einrichtung und Bereitstellung von Anwendungen</w:t>
      </w:r>
      <w:r>
        <w:rPr>
          <w:rFonts w:ascii="Arial" w:cs="Arial" w:eastAsia="Arial" w:hAnsi="Arial"/>
          <w:b w:val="false"/>
          <w:bCs w:val="false"/>
          <w:i w:val="false"/>
          <w:iCs w:val="false"/>
          <w:color w:val="1A1A1A"/>
          <w:sz w:val="21"/>
          <w:szCs w:val="21"/>
        </w:rPr>
        <w:t xml:space="preserve"> (NexAI Kalender, NexAI Mailagent, NexAI App; Abnahme nach Anlage D)</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Installation des NexAI CRM</w:t>
      </w:r>
      <w:r>
        <w:rPr>
          <w:rFonts w:ascii="Arial" w:cs="Arial" w:eastAsia="Arial" w:hAnsi="Arial"/>
          <w:b w:val="false"/>
          <w:bCs w:val="false"/>
          <w:i w:val="false"/>
          <w:iCs w:val="false"/>
          <w:color w:val="1A1A1A"/>
          <w:sz w:val="21"/>
          <w:szCs w:val="21"/>
        </w:rPr>
        <w:t xml:space="preserve"> auf der Infrastruktur des Kunden (Kauflizenz nach Ziffer 3.4; Abnahme nach Anlage D)</w:t>
      </w:r>
    </w:p>
    <w:p>
      <w:pPr>
        <w:spacing w:after="140" w:before="80"/>
      </w:pPr>
      <w:r>
        <w:rPr>
          <w:rFonts w:ascii="Arial" w:cs="Arial" w:eastAsia="Arial" w:hAnsi="Arial"/>
          <w:b w:val="false"/>
          <w:bCs w:val="false"/>
          <w:i/>
          <w:iCs/>
          <w:color w:val="6B7280"/>
          <w:sz w:val="18"/>
          <w:szCs w:val="18"/>
        </w:rPr>
        <w:t xml:space="preserve">Projektleistungen unterliegen dem Werkvertragsrecht; für Betriebsleistungen gilt § 3 Abs. (2) des Rahmenvertrags. Ausgehende Werbung durch Agenten nur mit vorheriger ausdrücklicher Einwilligung jedes Angesprochenen (§ 15 des Rahmenvertrags).</w:t>
      </w:r>
    </w:p>
    <w:p>
      <w:pPr>
        <w:pStyle w:val="Heading2"/>
        <w:keepNext/>
        <w:spacing w:after="80" w:before="160"/>
      </w:pPr>
      <w:r>
        <w:rPr>
          <w:rFonts w:ascii="Arial" w:cs="Arial" w:eastAsia="Arial" w:hAnsi="Arial"/>
          <w:b/>
          <w:bCs/>
          <w:i w:val="false"/>
          <w:iCs w:val="false"/>
          <w:color w:val="0B0B0F"/>
          <w:sz w:val="21"/>
          <w:szCs w:val="21"/>
        </w:rPr>
        <w:t xml:space="preserve">3.3 Angaben zum NexAI Mailagent</w:t>
      </w:r>
    </w:p>
    <w:p>
      <w:pPr>
        <w:spacing w:after="120" w:line="276"/>
        <w:jc w:val="both"/>
      </w:pPr>
      <w:r>
        <w:rPr>
          <w:rFonts w:ascii="Arial" w:cs="Arial" w:eastAsia="Arial" w:hAnsi="Arial"/>
          <w:b w:val="false"/>
          <w:bCs w:val="false"/>
          <w:i w:val="false"/>
          <w:iCs w:val="false"/>
          <w:color w:val="1A1A1A"/>
          <w:sz w:val="21"/>
          <w:szCs w:val="21"/>
        </w:rPr>
        <w:t xml:space="preserve">Nur auszufüllen, wenn der NexAI Mailagent beauftragt ist; ohne diese Angaben ist eine Einrichtung nicht möglich. Die Leistung beschreibt Anlage A Ziffer 5.4; datenschutzrechtlich ist NexAI Auftragsverarbeiter (Anlage B).</w:t>
      </w:r>
    </w:p>
    <w:p>
      <w:pPr>
        <w:spacing w:after="120"/>
      </w:pPr>
      <w:r>
        <w:rPr>
          <w:rFonts w:ascii="Arial" w:cs="Arial" w:eastAsia="Arial" w:hAnsi="Arial"/>
          <w:b/>
          <w:bCs/>
          <w:color w:val="1A1A1A"/>
          <w:sz w:val="21"/>
          <w:szCs w:val="21"/>
        </w:rPr>
        <w:t xml:space="preserve">Postfach 1 (Adresse und Zweck):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Postfach 2 (Adresse und Zweck):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Postfach 3 (Adresse und Zweck):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Anzahl der Zugänge (im monatlichen Beitrag enthalten: 3):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Anzahl der Postfächer (im monatlichen Beitrag enthalten: 3):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Personen mit Zugang (Name, Rolle):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Zugriff je Person auf Postfächer: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Person(en), die Entwürfe freigeben: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Zwei-Personen-Freigabe ab Betrag / weitere Auslöser: </w:t>
      </w:r>
      <w:r>
        <w:rPr>
          <w:rFonts w:ascii="Arial" w:cs="Arial" w:eastAsia="Arial" w:hAnsi="Arial"/>
          <w:color w:val="1A1A1A"/>
          <w:sz w:val="21"/>
          <w:szCs w:val="21"/>
        </w:rPr>
        <w:t xml:space="preserve">____ EUR / ____</w:t>
      </w:r>
    </w:p>
    <w:p>
      <w:pPr>
        <w:spacing w:after="120" w:line="276"/>
        <w:jc w:val="both"/>
      </w:pPr>
      <w:r>
        <w:rPr>
          <w:rFonts w:ascii="Arial" w:cs="Arial" w:eastAsia="Arial" w:hAnsi="Arial"/>
          <w:b/>
          <w:bCs/>
          <w:i w:val="false"/>
          <w:iCs w:val="false"/>
          <w:color w:val="1A1A1A"/>
          <w:sz w:val="21"/>
          <w:szCs w:val="21"/>
        </w:rPr>
        <w:t xml:space="preserve">Aufbewahrungsdauer</w:t>
      </w:r>
      <w:r>
        <w:rPr>
          <w:rFonts w:ascii="Arial" w:cs="Arial" w:eastAsia="Arial" w:hAnsi="Arial"/>
          <w:b w:val="false"/>
          <w:bCs w:val="false"/>
          <w:i w:val="false"/>
          <w:iCs w:val="false"/>
          <w:color w:val="1A1A1A"/>
          <w:sz w:val="21"/>
          <w:szCs w:val="21"/>
        </w:rPr>
        <w:t xml:space="preserve"> im Mailagenten (Anlage A Ziffer 5.4 Abs. (10)); ohne Eintrag gilt die Vorgabe, mindestens jedoch sieben (7) Tage:</w:t>
      </w:r>
    </w:p>
    <w:p>
      <w:pPr>
        <w:spacing w:after="120"/>
      </w:pPr>
      <w:r>
        <w:rPr>
          <w:rFonts w:ascii="Arial" w:cs="Arial" w:eastAsia="Arial" w:hAnsi="Arial"/>
          <w:b/>
          <w:bCs/>
          <w:color w:val="1A1A1A"/>
          <w:sz w:val="21"/>
          <w:szCs w:val="21"/>
        </w:rPr>
        <w:t xml:space="preserve">Nachrichten samt Auswertung (Vorgabe 180 Tage): </w:t>
      </w:r>
      <w:r>
        <w:rPr>
          <w:rFonts w:ascii="Arial" w:cs="Arial" w:eastAsia="Arial" w:hAnsi="Arial"/>
          <w:color w:val="1A1A1A"/>
          <w:sz w:val="21"/>
          <w:szCs w:val="21"/>
        </w:rPr>
        <w:t xml:space="preserve">____ Tage</w:t>
      </w:r>
    </w:p>
    <w:p>
      <w:pPr>
        <w:spacing w:after="120"/>
      </w:pPr>
      <w:r>
        <w:rPr>
          <w:rFonts w:ascii="Arial" w:cs="Arial" w:eastAsia="Arial" w:hAnsi="Arial"/>
          <w:b/>
          <w:bCs/>
          <w:color w:val="1A1A1A"/>
          <w:sz w:val="21"/>
          <w:szCs w:val="21"/>
        </w:rPr>
        <w:t xml:space="preserve">Anhänge (Vorgabe 90 Tage): </w:t>
      </w:r>
      <w:r>
        <w:rPr>
          <w:rFonts w:ascii="Arial" w:cs="Arial" w:eastAsia="Arial" w:hAnsi="Arial"/>
          <w:color w:val="1A1A1A"/>
          <w:sz w:val="21"/>
          <w:szCs w:val="21"/>
        </w:rPr>
        <w:t xml:space="preserve">____ Tage</w:t>
      </w:r>
    </w:p>
    <w:p>
      <w:pPr>
        <w:spacing w:after="120"/>
      </w:pPr>
      <w:r>
        <w:rPr>
          <w:rFonts w:ascii="Arial" w:cs="Arial" w:eastAsia="Arial" w:hAnsi="Arial"/>
          <w:b/>
          <w:bCs/>
          <w:color w:val="1A1A1A"/>
          <w:sz w:val="21"/>
          <w:szCs w:val="21"/>
        </w:rPr>
        <w:t xml:space="preserve">Verworfene Entwürfe (Vorgabe 90 Tage): </w:t>
      </w:r>
      <w:r>
        <w:rPr>
          <w:rFonts w:ascii="Arial" w:cs="Arial" w:eastAsia="Arial" w:hAnsi="Arial"/>
          <w:color w:val="1A1A1A"/>
          <w:sz w:val="21"/>
          <w:szCs w:val="21"/>
        </w:rPr>
        <w:t xml:space="preserve">____ Tage</w:t>
      </w:r>
    </w:p>
    <w:p>
      <w:pPr>
        <w:spacing w:after="120"/>
      </w:pPr>
      <w:r>
        <w:rPr>
          <w:rFonts w:ascii="Arial" w:cs="Arial" w:eastAsia="Arial" w:hAnsi="Arial"/>
          <w:b/>
          <w:bCs/>
          <w:color w:val="1A1A1A"/>
          <w:sz w:val="21"/>
          <w:szCs w:val="21"/>
        </w:rPr>
        <w:t xml:space="preserve">Wortlaut im Freigabeprotokoll und Verwaltungsprotokoll (Vorgabe 1.095 Tage): </w:t>
      </w:r>
      <w:r>
        <w:rPr>
          <w:rFonts w:ascii="Arial" w:cs="Arial" w:eastAsia="Arial" w:hAnsi="Arial"/>
          <w:color w:val="1A1A1A"/>
          <w:sz w:val="21"/>
          <w:szCs w:val="21"/>
        </w:rPr>
        <w:t xml:space="preserve">____ Tage</w:t>
      </w:r>
    </w:p>
    <w:p>
      <w:pPr>
        <w:spacing w:after="120"/>
      </w:pPr>
      <w:r>
        <w:rPr>
          <w:rFonts w:ascii="Arial" w:cs="Arial" w:eastAsia="Arial" w:hAnsi="Arial"/>
          <w:b/>
          <w:bCs/>
          <w:color w:val="1A1A1A"/>
          <w:sz w:val="21"/>
          <w:szCs w:val="21"/>
        </w:rPr>
        <w:t xml:space="preserve">Übrige Angaben im Freigabeprotokoll (Vorgabe 6 volle Kalenderjahre nach dem Jahr der Freigabe): </w:t>
      </w:r>
      <w:r>
        <w:rPr>
          <w:rFonts w:ascii="Arial" w:cs="Arial" w:eastAsia="Arial" w:hAnsi="Arial"/>
          <w:color w:val="1A1A1A"/>
          <w:sz w:val="21"/>
          <w:szCs w:val="21"/>
        </w:rPr>
        <w:t xml:space="preserve">____ Jahre</w:t>
      </w:r>
    </w:p>
    <w:p>
      <w:pPr>
        <w:spacing w:after="140" w:before="80"/>
      </w:pPr>
      <w:r>
        <w:rPr>
          <w:rFonts w:ascii="Arial" w:cs="Arial" w:eastAsia="Arial" w:hAnsi="Arial"/>
          <w:b w:val="false"/>
          <w:bCs w:val="false"/>
          <w:i/>
          <w:iCs/>
          <w:color w:val="6B7280"/>
          <w:sz w:val="18"/>
          <w:szCs w:val="18"/>
        </w:rPr>
        <w:t xml:space="preserve">Eine Frist über der Vorgabe vereinbaren die Parteien hiermit ausdrücklich; der Kunde bestätigt sie zusätzlich in der Anwendung. Für die längere Aufbewahrung muss beim Kunden eine Rechtsgrundlage bestehen.</w:t>
      </w:r>
    </w:p>
    <w:p>
      <w:pPr>
        <w:spacing w:after="120"/>
      </w:pPr>
      <w:r>
        <w:rPr>
          <w:rFonts w:ascii="Arial" w:cs="Arial" w:eastAsia="Arial" w:hAnsi="Arial"/>
          <w:b/>
          <w:bCs/>
          <w:color w:val="1A1A1A"/>
          <w:sz w:val="21"/>
          <w:szCs w:val="21"/>
        </w:rPr>
        <w:t xml:space="preserve">Kostendeckel für den Modellverbrauch je Monat: </w:t>
      </w:r>
      <w:r>
        <w:rPr>
          <w:rFonts w:ascii="Arial" w:cs="Arial" w:eastAsia="Arial" w:hAnsi="Arial"/>
          <w:color w:val="1A1A1A"/>
          <w:sz w:val="21"/>
          <w:szCs w:val="21"/>
        </w:rPr>
        <w:t xml:space="preserve">____ EUR</w:t>
      </w:r>
    </w:p>
    <w:p>
      <w:pPr>
        <w:spacing w:after="120" w:line="276"/>
        <w:jc w:val="both"/>
      </w:pPr>
      <w:r>
        <w:rPr>
          <w:rFonts w:ascii="Arial" w:cs="Arial" w:eastAsia="Arial" w:hAnsi="Arial"/>
          <w:b/>
          <w:bCs/>
          <w:i w:val="false"/>
          <w:iCs w:val="false"/>
          <w:color w:val="1A1A1A"/>
          <w:sz w:val="21"/>
          <w:szCs w:val="21"/>
        </w:rPr>
        <w:t xml:space="preserve">Verarbeitung der Modellanfragen:</w:t>
      </w:r>
      <w:r>
        <w:rPr>
          <w:rFonts w:ascii="Arial" w:cs="Arial" w:eastAsia="Arial" w:hAnsi="Arial"/>
          <w:b w:val="false"/>
          <w:bCs w:val="false"/>
          <w:i w:val="false"/>
          <w:iCs w:val="false"/>
          <w:color w:val="1A1A1A"/>
          <w:sz w:val="21"/>
          <w:szCs w:val="21"/>
        </w:rPr>
        <w:t xml:space="preserve"> Die Modellanfragen werden derzeit von Anthropic Ireland, Limited mit Weiterübermittlung an Anthropic, PBC in die USA auf Grundlage der EU-Standardvertragsklauseln verarbeitet (Anlage B, Anhang 2). NexAI stellt auf eine Verarbeitung ausschließlich in Rechenzentren in der Europäischen Union (Amazon Web Services EMEA SARL, Amazon Bedrock) um, sobald sie für den Mailagenten verfügbar ist, und teilt dies mit einer Frist von vierzehn (14) Tagen mit (Anlage B § 9 Abs. (2)).</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Betrieb auf einem gemeinsam genutzten Server (eigene Instanz, eigene Datenbank)</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Betrieb auf einem eigenen Server</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Nur bei Anbindung über Google Workspace mit domänenweiter Delegierung: Der Kunde weiß, dass die Delegierung technisch den Zugriff auf alle Postfächer seiner Domäne ermöglicht und die Beschränkung auf die oben benannten Postfächer durch NexAI erfolgt.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dass die benannten Postfächer nicht dem Schutz eines Berufsgeheimnisses nach § 203 StGB unterliegen (Anlage B § 3a) und dass eine etwaige Beteiligung des Betriebsrats in seinem Haus erfolgt ist.</w:t>
      </w:r>
    </w:p>
    <w:p>
      <w:pPr>
        <w:spacing w:after="120" w:line="276"/>
        <w:jc w:val="both"/>
      </w:pPr>
      <w:r>
        <w:rPr>
          <w:rFonts w:ascii="Arial" w:cs="Arial" w:eastAsia="Arial" w:hAnsi="Arial"/>
          <w:b/>
          <w:bCs/>
          <w:i w:val="false"/>
          <w:iCs w:val="false"/>
          <w:color w:val="1A1A1A"/>
          <w:sz w:val="21"/>
          <w:szCs w:val="21"/>
        </w:rPr>
        <w:t xml:space="preserve">Buchung in der Anwendung:</w:t>
      </w:r>
      <w:r>
        <w:rPr>
          <w:rFonts w:ascii="Arial" w:cs="Arial" w:eastAsia="Arial" w:hAnsi="Arial"/>
          <w:b w:val="false"/>
          <w:bCs w:val="false"/>
          <w:i w:val="false"/>
          <w:iCs w:val="false"/>
          <w:color w:val="1A1A1A"/>
          <w:sz w:val="21"/>
          <w:szCs w:val="21"/>
        </w:rPr>
        <w:t xml:space="preserve"> Weitere Zugänge und Postfächer kann der Kunde nach Anlage A Ziffer 5.4 Abs. (13) in der Anwendung beauftragen. Die Beauftragung kommt mit der Bestätigung in der Anwendung zustande; § 24 Abs. (1) des Rahmenvertrags gilt insoweit nicht. Maßgeblich ist das Verwaltungsprotokoll. NexAI bestätigt jede Beauftragung per E-Mail an die hinterlegte Rechnungsadresse [setzt voraus: Buchungsmeldung an NexAI in jeder Kundeninstanz eingerichtet].</w:t>
      </w:r>
    </w:p>
    <w:p>
      <w:pPr>
        <w:pStyle w:val="Heading2"/>
        <w:keepNext/>
        <w:spacing w:after="80" w:before="160"/>
      </w:pPr>
      <w:r>
        <w:rPr>
          <w:rFonts w:ascii="Arial" w:cs="Arial" w:eastAsia="Arial" w:hAnsi="Arial"/>
          <w:b/>
          <w:bCs/>
          <w:i w:val="false"/>
          <w:iCs w:val="false"/>
          <w:color w:val="0B0B0F"/>
          <w:sz w:val="21"/>
          <w:szCs w:val="21"/>
        </w:rPr>
        <w:t xml:space="preserve">3.4 Kauflizenz und Projektanwendungen (Anlage E)</w:t>
      </w:r>
    </w:p>
    <w:p>
      <w:pPr>
        <w:spacing w:after="120" w:line="276"/>
        <w:jc w:val="both"/>
      </w:pPr>
      <w:r>
        <w:rPr>
          <w:rFonts w:ascii="Arial" w:cs="Arial" w:eastAsia="Arial" w:hAnsi="Arial"/>
          <w:b w:val="false"/>
          <w:bCs w:val="false"/>
          <w:i w:val="false"/>
          <w:iCs w:val="false"/>
          <w:color w:val="1A1A1A"/>
          <w:sz w:val="21"/>
          <w:szCs w:val="21"/>
        </w:rPr>
        <w:t xml:space="preserve">Nur auszufüllen, wenn eine Kauflizenz oder eine Projektanwendung zum Festpreis beauftragt ist.</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Kauflizenz NexAI CRM</w:t>
      </w:r>
      <w:r>
        <w:rPr>
          <w:rFonts w:ascii="Arial" w:cs="Arial" w:eastAsia="Arial" w:hAnsi="Arial"/>
          <w:b w:val="false"/>
          <w:bCs w:val="false"/>
          <w:i w:val="false"/>
          <w:iCs w:val="false"/>
          <w:color w:val="1A1A1A"/>
          <w:sz w:val="21"/>
          <w:szCs w:val="21"/>
        </w:rPr>
        <w:t xml:space="preserve"> (einmalige Lizenzvergütung je Zugang; Betrieb auf der Infrastruktur des Kunden)</w:t>
      </w:r>
    </w:p>
    <w:p>
      <w:pPr>
        <w:spacing w:after="120"/>
      </w:pPr>
      <w:r>
        <w:rPr>
          <w:rFonts w:ascii="Arial" w:cs="Arial" w:eastAsia="Arial" w:hAnsi="Arial"/>
          <w:b/>
          <w:bCs/>
          <w:color w:val="1A1A1A"/>
          <w:sz w:val="21"/>
          <w:szCs w:val="21"/>
        </w:rPr>
        <w:t xml:space="preserve">Anzahl der Zugänge: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Lizenzvergütung einmalig (netto): </w:t>
      </w:r>
      <w:r>
        <w:rPr>
          <w:rFonts w:ascii="Arial" w:cs="Arial" w:eastAsia="Arial" w:hAnsi="Arial"/>
          <w:color w:val="1A1A1A"/>
          <w:sz w:val="21"/>
          <w:szCs w:val="21"/>
        </w:rPr>
        <w:t xml:space="preserve">____ EUR</w:t>
      </w:r>
    </w:p>
    <w:p>
      <w:pPr>
        <w:spacing w:after="120"/>
      </w:pPr>
      <w:r>
        <w:rPr>
          <w:rFonts w:ascii="Arial" w:cs="Arial" w:eastAsia="Arial" w:hAnsi="Arial"/>
          <w:b/>
          <w:bCs/>
          <w:color w:val="1A1A1A"/>
          <w:sz w:val="21"/>
          <w:szCs w:val="21"/>
        </w:rPr>
        <w:t xml:space="preserve">Infrastruktur des Kunden (Server, Standort, Betreiber):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Wartungszugang (Art des Zugangs, Ansprechpartner des Kunden):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Datum der Überlassung (Lizenzkauf):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Ende des Unterstützungszeitraums – Sicherheitsaktualisierungen bis (Monat/Jahr; sieben Jahre ab Lizenzkauf): </w:t>
      </w:r>
      <w:r>
        <w:rPr>
          <w:rFonts w:ascii="Arial" w:cs="Arial" w:eastAsia="Arial" w:hAnsi="Arial"/>
          <w:color w:val="1A1A1A"/>
          <w:sz w:val="21"/>
          <w:szCs w:val="21"/>
        </w:rPr>
        <w:t xml:space="preserve">____ / ____</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Pflege</w:t>
      </w:r>
      <w:r>
        <w:rPr>
          <w:rFonts w:ascii="Arial" w:cs="Arial" w:eastAsia="Arial" w:hAnsi="Arial"/>
          <w:b w:val="false"/>
          <w:bCs w:val="false"/>
          <w:i w:val="false"/>
          <w:iCs w:val="false"/>
          <w:color w:val="1A1A1A"/>
          <w:sz w:val="21"/>
          <w:szCs w:val="21"/>
        </w:rPr>
        <w:t xml:space="preserve"> ab dem zweiten Jahr nach Überlassung (Support und Reaktionszeiten nach Anlage C Ziffer 12; Regelsatz 18 % des Listenpreises je Zugang und Jahr)</w:t>
      </w:r>
    </w:p>
    <w:p>
      <w:pPr>
        <w:spacing w:after="120"/>
      </w:pPr>
      <w:r>
        <w:rPr>
          <w:rFonts w:ascii="Arial" w:cs="Arial" w:eastAsia="Arial" w:hAnsi="Arial"/>
          <w:b/>
          <w:bCs/>
          <w:color w:val="1A1A1A"/>
          <w:sz w:val="21"/>
          <w:szCs w:val="21"/>
        </w:rPr>
        <w:t xml:space="preserve">Pflegevergütung (netto): </w:t>
      </w:r>
      <w:r>
        <w:rPr>
          <w:rFonts w:ascii="Arial" w:cs="Arial" w:eastAsia="Arial" w:hAnsi="Arial"/>
          <w:color w:val="1A1A1A"/>
          <w:sz w:val="21"/>
          <w:szCs w:val="21"/>
        </w:rPr>
        <w:t xml:space="preserve">____ EUR/Jahr</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Projektanwendung zum Festpreis</w:t>
      </w:r>
      <w:r>
        <w:rPr>
          <w:rFonts w:ascii="Arial" w:cs="Arial" w:eastAsia="Arial" w:hAnsi="Arial"/>
          <w:b w:val="false"/>
          <w:bCs w:val="false"/>
          <w:i w:val="false"/>
          <w:iCs w:val="false"/>
          <w:color w:val="1A1A1A"/>
          <w:sz w:val="21"/>
          <w:szCs w:val="21"/>
        </w:rPr>
        <w:t xml:space="preserve"> (NexAI App; Werkleistung mit Abnahme nach Anlage D; Betrieb und Pflege nach Anlage E Ziffer 8)</w:t>
      </w:r>
    </w:p>
    <w:p>
      <w:pPr>
        <w:spacing w:after="120"/>
      </w:pPr>
      <w:r>
        <w:rPr>
          <w:rFonts w:ascii="Arial" w:cs="Arial" w:eastAsia="Arial" w:hAnsi="Arial"/>
          <w:b/>
          <w:bCs/>
          <w:color w:val="1A1A1A"/>
          <w:sz w:val="21"/>
          <w:szCs w:val="21"/>
        </w:rPr>
        <w:t xml:space="preserve">Paket / Leistungsbeschreibung: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Festpreis (netto): </w:t>
      </w:r>
      <w:r>
        <w:rPr>
          <w:rFonts w:ascii="Arial" w:cs="Arial" w:eastAsia="Arial" w:hAnsi="Arial"/>
          <w:color w:val="1A1A1A"/>
          <w:sz w:val="21"/>
          <w:szCs w:val="21"/>
        </w:rPr>
        <w:t xml:space="preserve">____ EUR</w:t>
      </w:r>
    </w:p>
    <w:p>
      <w:pPr>
        <w:spacing w:after="120"/>
      </w:pPr>
      <w:r>
        <w:rPr>
          <w:rFonts w:ascii="Arial" w:cs="Arial" w:eastAsia="Arial" w:hAnsi="Arial"/>
          <w:b/>
          <w:bCs/>
          <w:color w:val="1A1A1A"/>
          <w:sz w:val="21"/>
          <w:szCs w:val="21"/>
        </w:rPr>
        <w:t xml:space="preserve">Zahlungsplan: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Von der Pflege umfasste Nutzung (aktive Nutzer / Speicher):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Pflegevergütung ab dem zweiten Jahr (netto): </w:t>
      </w:r>
      <w:r>
        <w:rPr>
          <w:rFonts w:ascii="Arial" w:cs="Arial" w:eastAsia="Arial" w:hAnsi="Arial"/>
          <w:color w:val="1A1A1A"/>
          <w:sz w:val="21"/>
          <w:szCs w:val="21"/>
        </w:rPr>
        <w:t xml:space="preserve">____ EUR/Jahr</w:t>
      </w:r>
    </w:p>
    <w:p>
      <w:pPr>
        <w:spacing w:after="120"/>
      </w:pPr>
      <w:r>
        <w:rPr>
          <w:rFonts w:ascii="Arial" w:cs="Arial" w:eastAsia="Arial" w:hAnsi="Arial"/>
          <w:b/>
          <w:bCs/>
          <w:color w:val="1A1A1A"/>
          <w:sz w:val="21"/>
          <w:szCs w:val="21"/>
        </w:rPr>
        <w:t xml:space="preserve">Sicherheitsaktualisierungen bis (Monat/Jahr; sieben Jahre ab Abnahme): </w:t>
      </w:r>
      <w:r>
        <w:rPr>
          <w:rFonts w:ascii="Arial" w:cs="Arial" w:eastAsia="Arial" w:hAnsi="Arial"/>
          <w:color w:val="1A1A1A"/>
          <w:sz w:val="21"/>
          <w:szCs w:val="21"/>
        </w:rPr>
        <w:t xml:space="preserve">____ / ____</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Einsatzzweck und KI-VO-Einstufung je Agent</w:t>
      </w:r>
    </w:p>
    <w:p>
      <w:pPr>
        <w:spacing w:after="120" w:line="276"/>
        <w:jc w:val="both"/>
      </w:pPr>
      <w:r>
        <w:rPr>
          <w:rFonts w:ascii="Arial" w:cs="Arial" w:eastAsia="Arial" w:hAnsi="Arial"/>
          <w:b w:val="false"/>
          <w:bCs w:val="false"/>
          <w:i w:val="false"/>
          <w:iCs w:val="false"/>
          <w:color w:val="1A1A1A"/>
          <w:sz w:val="21"/>
          <w:szCs w:val="21"/>
        </w:rPr>
        <w:t xml:space="preserve">Für jeden beauftragten Agenten und für den NexAI Mailagent ist der verbindliche Einsatzzweck festzulegen. Der Kunde bestätigt, dass </w:t>
      </w:r>
      <w:r>
        <w:rPr>
          <w:rFonts w:ascii="Arial" w:cs="Arial" w:eastAsia="Arial" w:hAnsi="Arial"/>
          <w:b/>
          <w:bCs/>
          <w:i w:val="false"/>
          <w:iCs w:val="false"/>
          <w:color w:val="1A1A1A"/>
          <w:sz w:val="21"/>
          <w:szCs w:val="21"/>
        </w:rPr>
        <w:t xml:space="preserve">kein Hochrisiko-Einsatz nach Anhang III der Verordnung (EU) 2024/1689 (KI-VO)</w:t>
      </w:r>
      <w:r>
        <w:rPr>
          <w:rFonts w:ascii="Arial" w:cs="Arial" w:eastAsia="Arial" w:hAnsi="Arial"/>
          <w:b w:val="false"/>
          <w:bCs w:val="false"/>
          <w:i w:val="false"/>
          <w:iCs w:val="false"/>
          <w:color w:val="1A1A1A"/>
          <w:sz w:val="21"/>
          <w:szCs w:val="21"/>
        </w:rPr>
        <w:t xml:space="preserve"> vorliegt und die Systeme ausschließlich für die angegebenen Zwecke eingesetzt werden. Für die hier bezeichneten Systeme ist NexAI </w:t>
      </w:r>
      <w:r>
        <w:rPr>
          <w:rFonts w:ascii="Arial" w:cs="Arial" w:eastAsia="Arial" w:hAnsi="Arial"/>
          <w:b/>
          <w:bCs/>
          <w:i w:val="false"/>
          <w:iCs w:val="false"/>
          <w:color w:val="1A1A1A"/>
          <w:sz w:val="21"/>
          <w:szCs w:val="21"/>
        </w:rPr>
        <w:t xml:space="preserve">Anbieter</w:t>
      </w:r>
      <w:r>
        <w:rPr>
          <w:rFonts w:ascii="Arial" w:cs="Arial" w:eastAsia="Arial" w:hAnsi="Arial"/>
          <w:b w:val="false"/>
          <w:bCs w:val="false"/>
          <w:i w:val="false"/>
          <w:iCs w:val="false"/>
          <w:color w:val="1A1A1A"/>
          <w:sz w:val="21"/>
          <w:szCs w:val="21"/>
        </w:rPr>
        <w:t xml:space="preserve">, der Kunde </w:t>
      </w:r>
      <w:r>
        <w:rPr>
          <w:rFonts w:ascii="Arial" w:cs="Arial" w:eastAsia="Arial" w:hAnsi="Arial"/>
          <w:b/>
          <w:bCs/>
          <w:i w:val="false"/>
          <w:iCs w:val="false"/>
          <w:color w:val="1A1A1A"/>
          <w:sz w:val="21"/>
          <w:szCs w:val="21"/>
        </w:rPr>
        <w:t xml:space="preserve">Betreiber</w:t>
      </w:r>
      <w:r>
        <w:rPr>
          <w:rFonts w:ascii="Arial" w:cs="Arial" w:eastAsia="Arial" w:hAnsi="Arial"/>
          <w:b w:val="false"/>
          <w:bCs w:val="false"/>
          <w:i w:val="false"/>
          <w:iCs w:val="false"/>
          <w:color w:val="1A1A1A"/>
          <w:sz w:val="21"/>
          <w:szCs w:val="21"/>
        </w:rPr>
        <w:t xml:space="preserve"> im Sinne der KI-VO. Unabhängig von der Rollenfrage setzt NexAI die Pflichten aus Art. 50 Abs. 1 und 2 KI-VO technisch um, für vor dem 2. August 2026 in Verkehr gebrachte Systeme nach Art. 111 Abs. 4 KI-VO bis zum 2. Dezember 2026. Der Kunde sorgt für die KI-Kompetenz seines Personals (Art. 4 KI-VO), wofür NexAI eine Einweisung bereitstellt, und erfüllt Art. 50 Abs. 4 KI-VO bei Stimm- oder Bildnachbildungen.</w:t>
      </w:r>
    </w:p>
    <w:p>
      <w:pPr>
        <w:pStyle w:val="Heading2"/>
        <w:keepNext/>
        <w:spacing w:after="80" w:before="160"/>
      </w:pPr>
      <w:r>
        <w:rPr>
          <w:rFonts w:ascii="Arial" w:cs="Arial" w:eastAsia="Arial" w:hAnsi="Arial"/>
          <w:b/>
          <w:bCs/>
          <w:i w:val="false"/>
          <w:iCs w:val="false"/>
          <w:color w:val="0B0B0F"/>
          <w:sz w:val="21"/>
          <w:szCs w:val="21"/>
        </w:rPr>
        <w:t xml:space="preserve">Agent 1</w:t>
      </w:r>
    </w:p>
    <w:p>
      <w:pPr>
        <w:spacing w:after="120"/>
      </w:pPr>
      <w:r>
        <w:rPr>
          <w:rFonts w:ascii="Arial" w:cs="Arial" w:eastAsia="Arial" w:hAnsi="Arial"/>
          <w:b/>
          <w:bCs/>
          <w:color w:val="1A1A1A"/>
          <w:sz w:val="21"/>
          <w:szCs w:val="21"/>
        </w:rPr>
        <w:t xml:space="preserve">Bezeichnung / Typ des Agenten: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Verbindlicher Einsatzzweck: </w:t>
      </w:r>
      <w:r>
        <w:rPr>
          <w:rFonts w:ascii="Arial" w:cs="Arial" w:eastAsia="Arial" w:hAnsi="Arial"/>
          <w:color w:val="6B7280"/>
          <w:sz w:val="21"/>
          <w:szCs w:val="21"/>
          <w:u w:val="single"/>
        </w:rPr>
        <w:t xml:space="preserve">                                                </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w:t>
      </w:r>
      <w:r>
        <w:rPr>
          <w:rFonts w:ascii="Arial" w:cs="Arial" w:eastAsia="Arial" w:hAnsi="Arial"/>
          <w:b/>
          <w:bCs/>
          <w:i w:val="false"/>
          <w:iCs w:val="false"/>
          <w:color w:val="1A1A1A"/>
          <w:sz w:val="21"/>
          <w:szCs w:val="21"/>
        </w:rPr>
        <w:t xml:space="preserve">KEIN Hochrisiko-Einsatz</w:t>
      </w:r>
      <w:r>
        <w:rPr>
          <w:rFonts w:ascii="Arial" w:cs="Arial" w:eastAsia="Arial" w:hAnsi="Arial"/>
          <w:b w:val="false"/>
          <w:bCs w:val="false"/>
          <w:i w:val="false"/>
          <w:iCs w:val="false"/>
          <w:color w:val="1A1A1A"/>
          <w:sz w:val="21"/>
          <w:szCs w:val="21"/>
        </w:rPr>
        <w:t xml:space="preserve"> nach Anhang III KI-VO.</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Rollenzuordnung KI-VO: </w:t>
      </w:r>
      <w:r>
        <w:rPr>
          <w:rFonts w:ascii="Arial" w:cs="Arial" w:eastAsia="Arial" w:hAnsi="Arial"/>
          <w:b/>
          <w:bCs/>
          <w:i w:val="false"/>
          <w:iCs w:val="false"/>
          <w:color w:val="1A1A1A"/>
          <w:sz w:val="21"/>
          <w:szCs w:val="21"/>
        </w:rPr>
        <w:t xml:space="preserve">NexAI = Anbieter</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Kunde = Betreiber</w:t>
      </w:r>
      <w:r>
        <w:rPr>
          <w:rFonts w:ascii="Arial" w:cs="Arial" w:eastAsia="Arial" w:hAnsi="Arial"/>
          <w:b w:val="false"/>
          <w:bCs w:val="false"/>
          <w:i w:val="false"/>
          <w:iCs w:val="false"/>
          <w:color w:val="1A1A1A"/>
          <w:sz w:val="21"/>
          <w:szCs w:val="21"/>
        </w:rPr>
        <w:t xml:space="preserve">.</w:t>
      </w:r>
    </w:p>
    <w:p>
      <w:pPr>
        <w:pStyle w:val="Heading2"/>
        <w:keepNext/>
        <w:spacing w:after="80" w:before="160"/>
      </w:pPr>
      <w:r>
        <w:rPr>
          <w:rFonts w:ascii="Arial" w:cs="Arial" w:eastAsia="Arial" w:hAnsi="Arial"/>
          <w:b/>
          <w:bCs/>
          <w:i w:val="false"/>
          <w:iCs w:val="false"/>
          <w:color w:val="0B0B0F"/>
          <w:sz w:val="21"/>
          <w:szCs w:val="21"/>
        </w:rPr>
        <w:t xml:space="preserve">Agent 2</w:t>
      </w:r>
    </w:p>
    <w:p>
      <w:pPr>
        <w:spacing w:after="120"/>
      </w:pPr>
      <w:r>
        <w:rPr>
          <w:rFonts w:ascii="Arial" w:cs="Arial" w:eastAsia="Arial" w:hAnsi="Arial"/>
          <w:b/>
          <w:bCs/>
          <w:color w:val="1A1A1A"/>
          <w:sz w:val="21"/>
          <w:szCs w:val="21"/>
        </w:rPr>
        <w:t xml:space="preserve">Bezeichnung / Typ des Agenten: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Verbindlicher Einsatzzweck: </w:t>
      </w:r>
      <w:r>
        <w:rPr>
          <w:rFonts w:ascii="Arial" w:cs="Arial" w:eastAsia="Arial" w:hAnsi="Arial"/>
          <w:color w:val="6B7280"/>
          <w:sz w:val="21"/>
          <w:szCs w:val="21"/>
          <w:u w:val="single"/>
        </w:rPr>
        <w:t xml:space="preserve">                                                </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w:t>
      </w:r>
      <w:r>
        <w:rPr>
          <w:rFonts w:ascii="Arial" w:cs="Arial" w:eastAsia="Arial" w:hAnsi="Arial"/>
          <w:b/>
          <w:bCs/>
          <w:i w:val="false"/>
          <w:iCs w:val="false"/>
          <w:color w:val="1A1A1A"/>
          <w:sz w:val="21"/>
          <w:szCs w:val="21"/>
        </w:rPr>
        <w:t xml:space="preserve">KEIN Hochrisiko-Einsatz</w:t>
      </w:r>
      <w:r>
        <w:rPr>
          <w:rFonts w:ascii="Arial" w:cs="Arial" w:eastAsia="Arial" w:hAnsi="Arial"/>
          <w:b w:val="false"/>
          <w:bCs w:val="false"/>
          <w:i w:val="false"/>
          <w:iCs w:val="false"/>
          <w:color w:val="1A1A1A"/>
          <w:sz w:val="21"/>
          <w:szCs w:val="21"/>
        </w:rPr>
        <w:t xml:space="preserve"> nach Anhang III KI-VO.</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Rollenzuordnung KI-VO: </w:t>
      </w:r>
      <w:r>
        <w:rPr>
          <w:rFonts w:ascii="Arial" w:cs="Arial" w:eastAsia="Arial" w:hAnsi="Arial"/>
          <w:b/>
          <w:bCs/>
          <w:i w:val="false"/>
          <w:iCs w:val="false"/>
          <w:color w:val="1A1A1A"/>
          <w:sz w:val="21"/>
          <w:szCs w:val="21"/>
        </w:rPr>
        <w:t xml:space="preserve">NexAI = Anbieter</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Kunde = Betreiber</w:t>
      </w:r>
      <w:r>
        <w:rPr>
          <w:rFonts w:ascii="Arial" w:cs="Arial" w:eastAsia="Arial" w:hAnsi="Arial"/>
          <w:b w:val="false"/>
          <w:bCs w:val="false"/>
          <w:i w:val="false"/>
          <w:iCs w:val="false"/>
          <w:color w:val="1A1A1A"/>
          <w:sz w:val="21"/>
          <w:szCs w:val="21"/>
        </w:rPr>
        <w:t xml:space="preserve">.</w:t>
      </w:r>
    </w:p>
    <w:p>
      <w:pPr>
        <w:pStyle w:val="Heading2"/>
        <w:keepNext/>
        <w:spacing w:after="80" w:before="160"/>
      </w:pPr>
      <w:r>
        <w:rPr>
          <w:rFonts w:ascii="Arial" w:cs="Arial" w:eastAsia="Arial" w:hAnsi="Arial"/>
          <w:b/>
          <w:bCs/>
          <w:i w:val="false"/>
          <w:iCs w:val="false"/>
          <w:color w:val="0B0B0F"/>
          <w:sz w:val="21"/>
          <w:szCs w:val="21"/>
        </w:rPr>
        <w:t xml:space="preserve">Agent 3</w:t>
      </w:r>
    </w:p>
    <w:p>
      <w:pPr>
        <w:spacing w:after="120"/>
      </w:pPr>
      <w:r>
        <w:rPr>
          <w:rFonts w:ascii="Arial" w:cs="Arial" w:eastAsia="Arial" w:hAnsi="Arial"/>
          <w:b/>
          <w:bCs/>
          <w:color w:val="1A1A1A"/>
          <w:sz w:val="21"/>
          <w:szCs w:val="21"/>
        </w:rPr>
        <w:t xml:space="preserve">Bezeichnung / Typ des Agenten: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Verbindlicher Einsatzzweck: </w:t>
      </w:r>
      <w:r>
        <w:rPr>
          <w:rFonts w:ascii="Arial" w:cs="Arial" w:eastAsia="Arial" w:hAnsi="Arial"/>
          <w:color w:val="6B7280"/>
          <w:sz w:val="21"/>
          <w:szCs w:val="21"/>
          <w:u w:val="single"/>
        </w:rPr>
        <w:t xml:space="preserve">                                                </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w:t>
      </w:r>
      <w:r>
        <w:rPr>
          <w:rFonts w:ascii="Arial" w:cs="Arial" w:eastAsia="Arial" w:hAnsi="Arial"/>
          <w:b/>
          <w:bCs/>
          <w:i w:val="false"/>
          <w:iCs w:val="false"/>
          <w:color w:val="1A1A1A"/>
          <w:sz w:val="21"/>
          <w:szCs w:val="21"/>
        </w:rPr>
        <w:t xml:space="preserve">KEIN Hochrisiko-Einsatz</w:t>
      </w:r>
      <w:r>
        <w:rPr>
          <w:rFonts w:ascii="Arial" w:cs="Arial" w:eastAsia="Arial" w:hAnsi="Arial"/>
          <w:b w:val="false"/>
          <w:bCs w:val="false"/>
          <w:i w:val="false"/>
          <w:iCs w:val="false"/>
          <w:color w:val="1A1A1A"/>
          <w:sz w:val="21"/>
          <w:szCs w:val="21"/>
        </w:rPr>
        <w:t xml:space="preserve"> nach Anhang III KI-VO.</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Rollenzuordnung KI-VO: </w:t>
      </w:r>
      <w:r>
        <w:rPr>
          <w:rFonts w:ascii="Arial" w:cs="Arial" w:eastAsia="Arial" w:hAnsi="Arial"/>
          <w:b/>
          <w:bCs/>
          <w:i w:val="false"/>
          <w:iCs w:val="false"/>
          <w:color w:val="1A1A1A"/>
          <w:sz w:val="21"/>
          <w:szCs w:val="21"/>
        </w:rPr>
        <w:t xml:space="preserve">NexAI = Anbieter</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Kunde = Betreiber</w:t>
      </w:r>
      <w:r>
        <w:rPr>
          <w:rFonts w:ascii="Arial" w:cs="Arial" w:eastAsia="Arial" w:hAnsi="Arial"/>
          <w:b w:val="false"/>
          <w:bCs w:val="false"/>
          <w:i w:val="false"/>
          <w:iCs w:val="false"/>
          <w:color w:val="1A1A1A"/>
          <w:sz w:val="21"/>
          <w:szCs w:val="21"/>
        </w:rPr>
        <w:t xml:space="preserve">.</w:t>
      </w:r>
    </w:p>
    <w:p>
      <w:pPr>
        <w:pStyle w:val="Heading2"/>
        <w:keepNext/>
        <w:spacing w:after="80" w:before="160"/>
      </w:pPr>
      <w:r>
        <w:rPr>
          <w:rFonts w:ascii="Arial" w:cs="Arial" w:eastAsia="Arial" w:hAnsi="Arial"/>
          <w:b/>
          <w:bCs/>
          <w:i w:val="false"/>
          <w:iCs w:val="false"/>
          <w:color w:val="0B0B0F"/>
          <w:sz w:val="21"/>
          <w:szCs w:val="21"/>
        </w:rPr>
        <w:t xml:space="preserve">NexAI Mailagent</w:t>
      </w:r>
    </w:p>
    <w:p>
      <w:pPr>
        <w:spacing w:after="120"/>
      </w:pPr>
      <w:r>
        <w:rPr>
          <w:rFonts w:ascii="Arial" w:cs="Arial" w:eastAsia="Arial" w:hAnsi="Arial"/>
          <w:b/>
          <w:bCs/>
          <w:color w:val="1A1A1A"/>
          <w:sz w:val="21"/>
          <w:szCs w:val="21"/>
        </w:rPr>
        <w:t xml:space="preserve">Verbindlicher Einsatzzweck: </w:t>
      </w:r>
      <w:r>
        <w:rPr>
          <w:rFonts w:ascii="Arial" w:cs="Arial" w:eastAsia="Arial" w:hAnsi="Arial"/>
          <w:color w:val="1A1A1A"/>
          <w:sz w:val="21"/>
          <w:szCs w:val="21"/>
        </w:rPr>
        <w:t xml:space="preserve">Bearbeitung der geschäftlichen E-Mail-Korrespondenz des Kunden (Anlage A Ziffer 5.4 Abs. (11))</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w:t>
      </w:r>
      <w:r>
        <w:rPr>
          <w:rFonts w:ascii="Arial" w:cs="Arial" w:eastAsia="Arial" w:hAnsi="Arial"/>
          <w:b/>
          <w:bCs/>
          <w:i w:val="false"/>
          <w:iCs w:val="false"/>
          <w:color w:val="1A1A1A"/>
          <w:sz w:val="21"/>
          <w:szCs w:val="21"/>
        </w:rPr>
        <w:t xml:space="preserve">KEIN Hochrisiko-Einsatz</w:t>
      </w:r>
      <w:r>
        <w:rPr>
          <w:rFonts w:ascii="Arial" w:cs="Arial" w:eastAsia="Arial" w:hAnsi="Arial"/>
          <w:b w:val="false"/>
          <w:bCs w:val="false"/>
          <w:i w:val="false"/>
          <w:iCs w:val="false"/>
          <w:color w:val="1A1A1A"/>
          <w:sz w:val="21"/>
          <w:szCs w:val="21"/>
        </w:rPr>
        <w:t xml:space="preserve"> nach Anhang III KI-VO; insbesondere keine Beobachtung oder Bewertung der Leistung oder des Verhaltens von Beschäftigten.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Rollenzuordnung KI-VO: </w:t>
      </w:r>
      <w:r>
        <w:rPr>
          <w:rFonts w:ascii="Arial" w:cs="Arial" w:eastAsia="Arial" w:hAnsi="Arial"/>
          <w:b/>
          <w:bCs/>
          <w:i w:val="false"/>
          <w:iCs w:val="false"/>
          <w:color w:val="1A1A1A"/>
          <w:sz w:val="21"/>
          <w:szCs w:val="21"/>
        </w:rPr>
        <w:t xml:space="preserve">NexAI = Anbieter</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Kunde = Betreiber</w:t>
      </w:r>
      <w:r>
        <w:rPr>
          <w:rFonts w:ascii="Arial" w:cs="Arial" w:eastAsia="Arial" w:hAnsi="Arial"/>
          <w:b w:val="false"/>
          <w:bCs w:val="false"/>
          <w:i w:val="false"/>
          <w:iCs w:val="false"/>
          <w:color w:val="1A1A1A"/>
          <w:sz w:val="21"/>
          <w:szCs w:val="21"/>
        </w:rPr>
        <w:t xml:space="preserve">.</w:t>
      </w:r>
    </w:p>
    <w:p>
      <w:pPr>
        <w:spacing w:after="140" w:before="80"/>
      </w:pPr>
      <w:r>
        <w:rPr>
          <w:rFonts w:ascii="Arial" w:cs="Arial" w:eastAsia="Arial" w:hAnsi="Arial"/>
          <w:b w:val="false"/>
          <w:bCs w:val="false"/>
          <w:i/>
          <w:iCs/>
          <w:color w:val="6B7280"/>
          <w:sz w:val="18"/>
          <w:szCs w:val="18"/>
        </w:rPr>
        <w:t xml:space="preserve">Bei mehr als drei Agenten ist eine gleichlautende Fortsetzung als Beiblatt zu diesem Leistungsschein zu verwenden.</w:t>
      </w:r>
    </w:p>
    <w:p>
      <w:pPr>
        <w:spacing w:after="80"/>
      </w:pPr>
      <w:r>
        <w:rPr>
          <w:sz w:val="2"/>
          <w:szCs w:val="2"/>
        </w:rPr>
        <w:t xml:space="preserve"/>
      </w:r>
    </w:p>
    <w:p>
      <w:pPr>
        <w:pageBreakBefore/>
      </w:pPr>
      <w:r>
        <w:t xml:space="preserve"/>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Vergütung</w:t>
      </w:r>
    </w:p>
    <w:p>
      <w:pPr>
        <w:spacing w:after="120" w:line="276"/>
        <w:jc w:val="both"/>
      </w:pPr>
      <w:r>
        <w:rPr>
          <w:rFonts w:ascii="Arial" w:cs="Arial" w:eastAsia="Arial" w:hAnsi="Arial"/>
          <w:b w:val="false"/>
          <w:bCs w:val="false"/>
          <w:i w:val="false"/>
          <w:iCs w:val="false"/>
          <w:color w:val="1A1A1A"/>
          <w:sz w:val="21"/>
          <w:szCs w:val="21"/>
        </w:rPr>
        <w:t xml:space="preserve">Für die Ersteinrichtung fällt eine </w:t>
      </w:r>
      <w:r>
        <w:rPr>
          <w:rFonts w:ascii="Arial" w:cs="Arial" w:eastAsia="Arial" w:hAnsi="Arial"/>
          <w:b/>
          <w:bCs/>
          <w:i w:val="false"/>
          <w:iCs w:val="false"/>
          <w:color w:val="1A1A1A"/>
          <w:sz w:val="21"/>
          <w:szCs w:val="21"/>
        </w:rPr>
        <w:t xml:space="preserve">einmalige Einrichtungsgebühr</w:t>
      </w:r>
      <w:r>
        <w:rPr>
          <w:rFonts w:ascii="Arial" w:cs="Arial" w:eastAsia="Arial" w:hAnsi="Arial"/>
          <w:b w:val="false"/>
          <w:bCs w:val="false"/>
          <w:i w:val="false"/>
          <w:iCs w:val="false"/>
          <w:color w:val="1A1A1A"/>
          <w:sz w:val="21"/>
          <w:szCs w:val="21"/>
        </w:rPr>
        <w:t xml:space="preserve"> nur an, wenn sie in der nachstehenden Tabelle als einmalige Position eingetragen ist. Für Betriebsleistungen fällt der nachstehend vereinbarte monatliche </w:t>
      </w:r>
      <w:r>
        <w:rPr>
          <w:rFonts w:ascii="Arial" w:cs="Arial" w:eastAsia="Arial" w:hAnsi="Arial"/>
          <w:b/>
          <w:bCs/>
          <w:i w:val="false"/>
          <w:iCs w:val="false"/>
          <w:color w:val="1A1A1A"/>
          <w:sz w:val="21"/>
          <w:szCs w:val="21"/>
        </w:rPr>
        <w:t xml:space="preserve">oder</w:t>
      </w:r>
      <w:r>
        <w:rPr>
          <w:rFonts w:ascii="Arial" w:cs="Arial" w:eastAsia="Arial" w:hAnsi="Arial"/>
          <w:b w:val="false"/>
          <w:bCs w:val="false"/>
          <w:i w:val="false"/>
          <w:iCs w:val="false"/>
          <w:color w:val="1A1A1A"/>
          <w:sz w:val="21"/>
          <w:szCs w:val="21"/>
        </w:rPr>
        <w:t xml:space="preserve"> jährliche Beitrag an. Projektleistungen (insbesondere die Einrichtung von Anwendungen) werden, soweit beauftragt, gesondert und einmalig vergütet. Für Kauflizenzen und Projektanwendungen gelten Ziffer 3.4 und Anlage E. Alle Beträge verstehen sich </w:t>
      </w:r>
      <w:r>
        <w:rPr>
          <w:rFonts w:ascii="Arial" w:cs="Arial" w:eastAsia="Arial" w:hAnsi="Arial"/>
          <w:b/>
          <w:bCs/>
          <w:i w:val="false"/>
          <w:iCs w:val="false"/>
          <w:color w:val="1A1A1A"/>
          <w:sz w:val="21"/>
          <w:szCs w:val="21"/>
        </w:rPr>
        <w:t xml:space="preserve">netto zzgl. der gesetzlichen Umsatzsteuer</w:t>
      </w:r>
      <w:r>
        <w:rPr>
          <w:rFonts w:ascii="Arial" w:cs="Arial" w:eastAsia="Arial" w:hAnsi="Arial"/>
          <w:b w:val="false"/>
          <w:bCs w:val="false"/>
          <w:i w:val="false"/>
          <w:iCs w:val="false"/>
          <w:color w:val="1A1A1A"/>
          <w:sz w:val="21"/>
          <w:szCs w:val="21"/>
        </w:rPr>
        <w:t xml:space="preserve">.</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2351"/>
        <w:gridCol w:w="2351"/>
        <w:gridCol w:w="2351"/>
        <w:gridCol w:w="2351"/>
      </w:tblGrid>
      <w:tr>
        <w:trPr>
          <w:tblHeader/>
        </w:trPr>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Position / Leistung</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Modell (monatlich / jährlich / einmalig)</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Listenpreis netto (EUR)</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Vereinbart netto (EUR)</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r>
      <w:tr>
        <w:tc>
          <w:tcPr>
            <w:tcW w:type="dxa" w:w="2351"/>
            <w:tcMar>
              <w:top w:type="dxa" w:w="60"/>
              <w:left w:type="dxa" w:w="90"/>
              <w:bottom w:type="dxa" w:w="60"/>
              <w:right w:type="dxa" w:w="90"/>
            </w:tcMar>
          </w:tcPr>
          <w:p>
            <w:pPr>
              <w:spacing w:after="0" w:line="264"/>
            </w:pPr>
            <w:r>
              <w:rPr>
                <w:rFonts w:ascii="Arial" w:cs="Arial" w:eastAsia="Arial" w:hAnsi="Arial"/>
                <w:b/>
                <w:bCs/>
                <w:i w:val="false"/>
                <w:iCs w:val="false"/>
                <w:color w:val="1A1A1A"/>
                <w:sz w:val="20"/>
                <w:szCs w:val="20"/>
              </w:rPr>
              <w:t xml:space="preserve">Summe (netto)</w:t>
            </w:r>
          </w:p>
        </w:tc>
        <w:tc>
          <w:tcPr>
            <w:tcW w:type="dxa" w:w="2351"/>
            <w:tcMar>
              <w:top w:type="dxa" w:w="60"/>
              <w:left w:type="dxa" w:w="90"/>
              <w:bottom w:type="dxa" w:w="60"/>
              <w:right w:type="dxa" w:w="90"/>
            </w:tcMar>
          </w:tcPr>
          <w:p>
            <w:pPr>
              <w:spacing w:after="0" w:line="264"/>
            </w:pPr>
            <w:r>
              <w:rPr>
                <w:rFonts w:ascii="Arial" w:cs="Arial" w:eastAsia="Arial" w:hAnsi="Arial"/>
                <w:sz w:val="20"/>
                <w:szCs w:val="20"/>
              </w:rPr>
              <w:t xml:space="preserve"/>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 EUR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 EUR</w:t>
            </w:r>
          </w:p>
        </w:tc>
      </w:tr>
      <w:tr>
        <w:tc>
          <w:tcPr>
            <w:tcW w:type="dxa" w:w="2351"/>
            <w:tcMar>
              <w:top w:type="dxa" w:w="60"/>
              <w:left w:type="dxa" w:w="90"/>
              <w:bottom w:type="dxa" w:w="60"/>
              <w:right w:type="dxa" w:w="90"/>
            </w:tcMar>
          </w:tcPr>
          <w:p>
            <w:pPr>
              <w:spacing w:after="0" w:line="264"/>
            </w:pPr>
            <w:r>
              <w:rPr>
                <w:rFonts w:ascii="Arial" w:cs="Arial" w:eastAsia="Arial" w:hAnsi="Arial"/>
                <w:b/>
                <w:bCs/>
                <w:i w:val="false"/>
                <w:iCs w:val="false"/>
                <w:color w:val="1A1A1A"/>
                <w:sz w:val="20"/>
                <w:szCs w:val="20"/>
              </w:rPr>
              <w:t xml:space="preserve">Abweichung vom Listenpreis (Ziffer 16)</w:t>
            </w:r>
          </w:p>
        </w:tc>
        <w:tc>
          <w:tcPr>
            <w:tcW w:type="dxa" w:w="2351"/>
            <w:tcMar>
              <w:top w:type="dxa" w:w="60"/>
              <w:left w:type="dxa" w:w="90"/>
              <w:bottom w:type="dxa" w:w="60"/>
              <w:right w:type="dxa" w:w="90"/>
            </w:tcMar>
          </w:tcPr>
          <w:p>
            <w:pPr>
              <w:spacing w:after="0" w:line="264"/>
            </w:pPr>
            <w:r>
              <w:rPr>
                <w:rFonts w:ascii="Arial" w:cs="Arial" w:eastAsia="Arial" w:hAnsi="Arial"/>
                <w:sz w:val="20"/>
                <w:szCs w:val="20"/>
              </w:rPr>
              <w:t xml:space="preserve"/>
            </w:r>
          </w:p>
        </w:tc>
        <w:tc>
          <w:tcPr>
            <w:tcW w:type="dxa" w:w="2351"/>
            <w:tcMar>
              <w:top w:type="dxa" w:w="60"/>
              <w:left w:type="dxa" w:w="90"/>
              <w:bottom w:type="dxa" w:w="60"/>
              <w:right w:type="dxa" w:w="90"/>
            </w:tcMar>
          </w:tcPr>
          <w:p>
            <w:pPr>
              <w:spacing w:after="0" w:line="264"/>
            </w:pPr>
            <w:r>
              <w:rPr>
                <w:rFonts w:ascii="Arial" w:cs="Arial" w:eastAsia="Arial" w:hAnsi="Arial"/>
                <w:sz w:val="20"/>
                <w:szCs w:val="20"/>
              </w:rPr>
              <w:t xml:space="preserve"/>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 %</w:t>
            </w:r>
          </w:p>
        </w:tc>
      </w:tr>
    </w:tbl>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Listenpreis ist der Preis der von NexAI freigegebenen Preisliste am Tag der Unterzeichnung; nennt sie keinen festen Preis, der Preis, den ein Gesellschafter von NexAI für diesen Auftrag freigegeben hat. Weicht der vereinbarte Betrag vom Listenpreis ab und hat für NexAI ein Closer unterschrieben, wird der Vertrag erst wirksam, wenn NexAI ihn in Textform genehmigt. Hat die Vertriebsleitung unterschrieben, gilt das, wenn die Vergütung nach der Berechnung in Ziffer 16 mehr als zehn Prozent unter dem Listenpreis liegt. Liegt sie mehr als zehn Prozent darunter, kann in beiden Fällen nur ein Gesellschafter genehmigen. Verweigert NexAI die Genehmigung, kommt der Vertrag nicht zustande (Ziffer 16).</w:t>
      </w:r>
    </w:p>
    <w:p>
      <w:pPr>
        <w:spacing w:after="120"/>
      </w:pPr>
      <w:r>
        <w:rPr>
          <w:rFonts w:ascii="Arial" w:cs="Arial" w:eastAsia="Arial" w:hAnsi="Arial"/>
          <w:b/>
          <w:bCs/>
          <w:color w:val="1A1A1A"/>
          <w:sz w:val="21"/>
          <w:szCs w:val="21"/>
        </w:rPr>
        <w:t xml:space="preserve">Abrechnungsturnus / Fälligkeit (z. B. monatlich im Voraus, jährlich im Voraus):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Umsatzsteuer: Regelbesteuerung; alle Preise netto zzgl. gesetzlicher USt. USt-IdNr. von NexAI: DE463741277.</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Freikontingent und Mehrverbrauch (Overage)</w:t>
      </w:r>
    </w:p>
    <w:p>
      <w:pPr>
        <w:spacing w:after="120" w:line="276"/>
        <w:jc w:val="both"/>
      </w:pPr>
      <w:r>
        <w:rPr>
          <w:rFonts w:ascii="Arial" w:cs="Arial" w:eastAsia="Arial" w:hAnsi="Arial"/>
          <w:b w:val="false"/>
          <w:bCs w:val="false"/>
          <w:i w:val="false"/>
          <w:iCs w:val="false"/>
          <w:color w:val="1A1A1A"/>
          <w:sz w:val="21"/>
          <w:szCs w:val="21"/>
        </w:rPr>
        <w:t xml:space="preserve">Im Beitrag ist je Agent ein </w:t>
      </w:r>
      <w:r>
        <w:rPr>
          <w:rFonts w:ascii="Arial" w:cs="Arial" w:eastAsia="Arial" w:hAnsi="Arial"/>
          <w:b/>
          <w:bCs/>
          <w:i w:val="false"/>
          <w:iCs w:val="false"/>
          <w:color w:val="1A1A1A"/>
          <w:sz w:val="21"/>
          <w:szCs w:val="21"/>
        </w:rPr>
        <w:t xml:space="preserve">Freikontingent</w:t>
      </w:r>
      <w:r>
        <w:rPr>
          <w:rFonts w:ascii="Arial" w:cs="Arial" w:eastAsia="Arial" w:hAnsi="Arial"/>
          <w:b w:val="false"/>
          <w:bCs w:val="false"/>
          <w:i w:val="false"/>
          <w:iCs w:val="false"/>
          <w:color w:val="1A1A1A"/>
          <w:sz w:val="21"/>
          <w:szCs w:val="21"/>
        </w:rPr>
        <w:t xml:space="preserve"> enthalten. Darüber hinausgehender </w:t>
      </w:r>
      <w:r>
        <w:rPr>
          <w:rFonts w:ascii="Arial" w:cs="Arial" w:eastAsia="Arial" w:hAnsi="Arial"/>
          <w:b/>
          <w:bCs/>
          <w:i w:val="false"/>
          <w:iCs w:val="false"/>
          <w:color w:val="1A1A1A"/>
          <w:sz w:val="21"/>
          <w:szCs w:val="21"/>
        </w:rPr>
        <w:t xml:space="preserve">Mehrverbrauch (Overage)</w:t>
      </w:r>
      <w:r>
        <w:rPr>
          <w:rFonts w:ascii="Arial" w:cs="Arial" w:eastAsia="Arial" w:hAnsi="Arial"/>
          <w:b w:val="false"/>
          <w:bCs w:val="false"/>
          <w:i w:val="false"/>
          <w:iCs w:val="false"/>
          <w:color w:val="1A1A1A"/>
          <w:sz w:val="21"/>
          <w:szCs w:val="21"/>
        </w:rPr>
        <w:t xml:space="preserve"> wird zum nachstehenden Netto-Einheitspreis abgerechnet und mit dem Beitrag des Folgemonats in Rechnung gestellt. Auf Verlangen des Kunden wird ein Einzelverbindungsnachweis bereitgestellt.</w:t>
      </w:r>
    </w:p>
    <w:p>
      <w:pPr>
        <w:spacing w:after="120"/>
      </w:pPr>
      <w:r>
        <w:rPr>
          <w:rFonts w:ascii="Arial" w:cs="Arial" w:eastAsia="Arial" w:hAnsi="Arial"/>
          <w:b/>
          <w:bCs/>
          <w:color w:val="1A1A1A"/>
          <w:sz w:val="21"/>
          <w:szCs w:val="21"/>
        </w:rPr>
        <w:t xml:space="preserve">Freikontingent: </w:t>
      </w:r>
      <w:r>
        <w:rPr>
          <w:rFonts w:ascii="Arial" w:cs="Arial" w:eastAsia="Arial" w:hAnsi="Arial"/>
          <w:color w:val="1A1A1A"/>
          <w:sz w:val="21"/>
          <w:szCs w:val="21"/>
        </w:rPr>
        <w:t xml:space="preserve">____ Min./Monat</w:t>
      </w:r>
    </w:p>
    <w:p>
      <w:pPr>
        <w:spacing w:after="120"/>
      </w:pPr>
      <w:r>
        <w:rPr>
          <w:rFonts w:ascii="Arial" w:cs="Arial" w:eastAsia="Arial" w:hAnsi="Arial"/>
          <w:b/>
          <w:bCs/>
          <w:color w:val="1A1A1A"/>
          <w:sz w:val="21"/>
          <w:szCs w:val="21"/>
        </w:rPr>
        <w:t xml:space="preserve">Mehrverbrauch (Overage): </w:t>
      </w:r>
      <w:r>
        <w:rPr>
          <w:rFonts w:ascii="Arial" w:cs="Arial" w:eastAsia="Arial" w:hAnsi="Arial"/>
          <w:color w:val="1A1A1A"/>
          <w:sz w:val="21"/>
          <w:szCs w:val="21"/>
        </w:rPr>
        <w:t xml:space="preserve">____ EUR/Min. netto</w:t>
      </w:r>
    </w:p>
    <w:p>
      <w:pPr>
        <w:spacing w:after="120"/>
      </w:pPr>
      <w:r>
        <w:rPr>
          <w:rFonts w:ascii="Arial" w:cs="Arial" w:eastAsia="Arial" w:hAnsi="Arial"/>
          <w:b/>
          <w:bCs/>
          <w:color w:val="1A1A1A"/>
          <w:sz w:val="21"/>
          <w:szCs w:val="21"/>
        </w:rPr>
        <w:t xml:space="preserve">Weiteres Kontingent / Einheit (optional, z. B. Nachrichten/Kontakte):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Schwelle für die Zwischenabrechnung des Mehrverbrauchs (§ 7 Abs. (5) des Rahmenvertrags): </w:t>
      </w:r>
      <w:r>
        <w:rPr>
          <w:rFonts w:ascii="Arial" w:cs="Arial" w:eastAsia="Arial" w:hAnsi="Arial"/>
          <w:color w:val="1A1A1A"/>
          <w:sz w:val="21"/>
          <w:szCs w:val="21"/>
        </w:rPr>
        <w:t xml:space="preserve">____ EUR</w:t>
      </w:r>
    </w:p>
    <w:p>
      <w:pPr>
        <w:spacing w:after="120" w:line="276"/>
        <w:jc w:val="both"/>
      </w:pPr>
      <w:r>
        <w:rPr>
          <w:rFonts w:ascii="Arial" w:cs="Arial" w:eastAsia="Arial" w:hAnsi="Arial"/>
          <w:b/>
          <w:bCs/>
          <w:i w:val="false"/>
          <w:iCs w:val="false"/>
          <w:color w:val="1A1A1A"/>
          <w:sz w:val="21"/>
          <w:szCs w:val="21"/>
        </w:rPr>
        <w:t xml:space="preserve">NexAI Mailagent:</w:t>
      </w:r>
      <w:r>
        <w:rPr>
          <w:rFonts w:ascii="Arial" w:cs="Arial" w:eastAsia="Arial" w:hAnsi="Arial"/>
          <w:b w:val="false"/>
          <w:bCs w:val="false"/>
          <w:i w:val="false"/>
          <w:iCs w:val="false"/>
          <w:color w:val="1A1A1A"/>
          <w:sz w:val="21"/>
          <w:szCs w:val="21"/>
        </w:rPr>
        <w:t xml:space="preserve"> Im monatlichen Beitrag ist Modellverbrauch im Gegenwert von 20,00 EUR netto enthalten. Verbrauch ist das von NexAI für die Instanz des Kunden an den Modellanbieter geschuldete Entgelt nach dessen Preisliste, umgerechnet zum Referenzkurs der Europäischen Zentralbank am Monatsende und in der Monatsauswertung ausgewiesen; Mehrverbrauch wird mit einem Aufschlag von 20 % berechnet. Bei Erreichen von achtzig Prozent des Kostendeckels (Ziffer 3.3) warnt die Anwendung, bei Erreichen des Deckels stellt sie Einstufung und Entwürfe ein, bis der Kunde NexAI in Textform anweist, den Deckel anzuheben [setzt voraus: Kostendeckel und Verbrauchsausweis in EUR; Abrechnung des Mehrverbrauchs aus der Anwendung].</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Technisches EUR-Spend-Cap je Agent</w:t>
      </w:r>
    </w:p>
    <w:p>
      <w:pPr>
        <w:spacing w:after="120" w:line="276"/>
        <w:jc w:val="both"/>
      </w:pPr>
      <w:r>
        <w:rPr>
          <w:rFonts w:ascii="Arial" w:cs="Arial" w:eastAsia="Arial" w:hAnsi="Arial"/>
          <w:b w:val="false"/>
          <w:bCs w:val="false"/>
          <w:i w:val="false"/>
          <w:iCs w:val="false"/>
          <w:color w:val="1A1A1A"/>
          <w:sz w:val="21"/>
          <w:szCs w:val="21"/>
        </w:rPr>
        <w:t xml:space="preserve">Zur Kostenbegrenzung wird je Agent ein technisches Ausgabenlimit (EUR-Spend-Cap) hinterlegt. Ist kein Spend-Cap eingetragen, gilt als Spend-Cap das [Doppelte] des monatlichen Beitrags des betreffenden Agenten. Bei Erreichen des Limits kann der Betrieb des betreffenden Agenten technisch gedrosselt oder ausgesetzt werden. Eine Anhebung des Limits bedarf einer dokumentierten Weisung des Kunden.</w:t>
      </w:r>
    </w:p>
    <w:p>
      <w:pPr>
        <w:spacing w:after="120"/>
      </w:pPr>
      <w:r>
        <w:rPr>
          <w:rFonts w:ascii="Arial" w:cs="Arial" w:eastAsia="Arial" w:hAnsi="Arial"/>
          <w:b/>
          <w:bCs/>
          <w:color w:val="1A1A1A"/>
          <w:sz w:val="21"/>
          <w:szCs w:val="21"/>
        </w:rPr>
        <w:t xml:space="preserve">EUR-Spend-Cap Agent 1: </w:t>
      </w:r>
      <w:r>
        <w:rPr>
          <w:rFonts w:ascii="Arial" w:cs="Arial" w:eastAsia="Arial" w:hAnsi="Arial"/>
          <w:color w:val="1A1A1A"/>
          <w:sz w:val="21"/>
          <w:szCs w:val="21"/>
        </w:rPr>
        <w:t xml:space="preserve">____ EUR/Monat</w:t>
      </w:r>
    </w:p>
    <w:p>
      <w:pPr>
        <w:spacing w:after="120"/>
      </w:pPr>
      <w:r>
        <w:rPr>
          <w:rFonts w:ascii="Arial" w:cs="Arial" w:eastAsia="Arial" w:hAnsi="Arial"/>
          <w:b/>
          <w:bCs/>
          <w:color w:val="1A1A1A"/>
          <w:sz w:val="21"/>
          <w:szCs w:val="21"/>
        </w:rPr>
        <w:t xml:space="preserve">EUR-Spend-Cap Agent 2: </w:t>
      </w:r>
      <w:r>
        <w:rPr>
          <w:rFonts w:ascii="Arial" w:cs="Arial" w:eastAsia="Arial" w:hAnsi="Arial"/>
          <w:color w:val="1A1A1A"/>
          <w:sz w:val="21"/>
          <w:szCs w:val="21"/>
        </w:rPr>
        <w:t xml:space="preserve">____ EUR/Monat</w:t>
      </w:r>
    </w:p>
    <w:p>
      <w:pPr>
        <w:spacing w:after="120"/>
      </w:pPr>
      <w:r>
        <w:rPr>
          <w:rFonts w:ascii="Arial" w:cs="Arial" w:eastAsia="Arial" w:hAnsi="Arial"/>
          <w:b/>
          <w:bCs/>
          <w:color w:val="1A1A1A"/>
          <w:sz w:val="21"/>
          <w:szCs w:val="21"/>
        </w:rPr>
        <w:t xml:space="preserve">EUR-Spend-Cap Agent 3: </w:t>
      </w:r>
      <w:r>
        <w:rPr>
          <w:rFonts w:ascii="Arial" w:cs="Arial" w:eastAsia="Arial" w:hAnsi="Arial"/>
          <w:color w:val="1A1A1A"/>
          <w:sz w:val="21"/>
          <w:szCs w:val="21"/>
        </w:rPr>
        <w:t xml:space="preserve">____ EUR/Monat</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Zahlungsweise</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SEPA-Firmenlastschrift (B2B)</w:t>
      </w:r>
      <w:r>
        <w:rPr>
          <w:rFonts w:ascii="Arial" w:cs="Arial" w:eastAsia="Arial" w:hAnsi="Arial"/>
          <w:b w:val="false"/>
          <w:bCs w:val="false"/>
          <w:i w:val="false"/>
          <w:iCs w:val="false"/>
          <w:color w:val="1A1A1A"/>
          <w:sz w:val="21"/>
          <w:szCs w:val="21"/>
        </w:rPr>
        <w:t xml:space="preserve"> — ein gesondertes SEPA-Firmenlastschriftmandat wird erteilt.</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Überweisung</w:t>
      </w:r>
      <w:r>
        <w:rPr>
          <w:rFonts w:ascii="Arial" w:cs="Arial" w:eastAsia="Arial" w:hAnsi="Arial"/>
          <w:b w:val="false"/>
          <w:bCs w:val="false"/>
          <w:i w:val="false"/>
          <w:iCs w:val="false"/>
          <w:color w:val="1A1A1A"/>
          <w:sz w:val="21"/>
          <w:szCs w:val="21"/>
        </w:rPr>
        <w:t xml:space="preserve"> — Zahlung nach Rechnungserhalt innerhalb der im Rahmenvertrag / den AGB (B2B) genannten Frist.</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9.  </w:t>
      </w:r>
      <w:r>
        <w:rPr>
          <w:rFonts w:ascii="Arial" w:cs="Arial" w:eastAsia="Arial" w:hAnsi="Arial"/>
          <w:b/>
          <w:bCs/>
          <w:i w:val="false"/>
          <w:iCs w:val="false"/>
          <w:color w:val="0B0B0F"/>
          <w:sz w:val="24"/>
          <w:szCs w:val="24"/>
        </w:rPr>
        <w:t xml:space="preserve">Laufzeitmodell</w:t>
      </w:r>
    </w:p>
    <w:p>
      <w:pPr>
        <w:spacing w:after="120" w:line="276"/>
        <w:jc w:val="both"/>
      </w:pPr>
      <w:r>
        <w:rPr>
          <w:rFonts w:ascii="Arial" w:cs="Arial" w:eastAsia="Arial" w:hAnsi="Arial"/>
          <w:b w:val="false"/>
          <w:bCs w:val="false"/>
          <w:i w:val="false"/>
          <w:iCs w:val="false"/>
          <w:color w:val="1A1A1A"/>
          <w:sz w:val="21"/>
          <w:szCs w:val="21"/>
        </w:rPr>
        <w:t xml:space="preserve">Es ist genau eines der folgenden Modelle zu wählen.</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Monatsmodell</w:t>
      </w:r>
      <w:r>
        <w:rPr>
          <w:rFonts w:ascii="Arial" w:cs="Arial" w:eastAsia="Arial" w:hAnsi="Arial"/>
          <w:b w:val="false"/>
          <w:bCs w:val="false"/>
          <w:i w:val="false"/>
          <w:iCs w:val="false"/>
          <w:color w:val="1A1A1A"/>
          <w:sz w:val="21"/>
          <w:szCs w:val="21"/>
        </w:rPr>
        <w:t xml:space="preserve"> — monatlich kündbar mit einer Frist von einem Monat zum Monatsende.</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Jahresmodell</w:t>
      </w:r>
      <w:r>
        <w:rPr>
          <w:rFonts w:ascii="Arial" w:cs="Arial" w:eastAsia="Arial" w:hAnsi="Arial"/>
          <w:b w:val="false"/>
          <w:bCs w:val="false"/>
          <w:i w:val="false"/>
          <w:iCs w:val="false"/>
          <w:color w:val="1A1A1A"/>
          <w:sz w:val="21"/>
          <w:szCs w:val="21"/>
        </w:rPr>
        <w:t xml:space="preserve"> — Mindestlaufzeit 12 Monate; bei ordentlicher Beendigung keine anteilige Rückerstattung des gewährten Preisvorteils (§ 8 Abs. (2) des Rahmenvertrags); Verlängerung um jeweils 12 Monate, Kündigung mit einer Frist von einem Monat zum Laufzeitende.</w:t>
      </w:r>
    </w:p>
    <w:p>
      <w:pPr>
        <w:spacing w:after="140" w:before="80"/>
      </w:pPr>
      <w:r>
        <w:rPr>
          <w:rFonts w:ascii="Arial" w:cs="Arial" w:eastAsia="Arial" w:hAnsi="Arial"/>
          <w:b w:val="false"/>
          <w:bCs w:val="false"/>
          <w:i/>
          <w:iCs/>
          <w:color w:val="6B7280"/>
          <w:sz w:val="18"/>
          <w:szCs w:val="18"/>
        </w:rPr>
        <w:t xml:space="preserve">Das Recht zur außerordentlichen Kündigung aus wichtigem Grund bleibt für beide Parteien unberührt.</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10.  </w:t>
      </w:r>
      <w:r>
        <w:rPr>
          <w:rFonts w:ascii="Arial" w:cs="Arial" w:eastAsia="Arial" w:hAnsi="Arial"/>
          <w:b/>
          <w:bCs/>
          <w:i w:val="false"/>
          <w:iCs w:val="false"/>
          <w:color w:val="0B0B0F"/>
          <w:sz w:val="24"/>
          <w:szCs w:val="24"/>
        </w:rPr>
        <w:t xml:space="preserve">Befugnisse der Agenten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Die Agenten geben </w:t>
      </w:r>
      <w:r>
        <w:rPr>
          <w:rFonts w:ascii="Arial" w:cs="Arial" w:eastAsia="Arial" w:hAnsi="Arial"/>
          <w:b/>
          <w:bCs/>
          <w:i w:val="false"/>
          <w:iCs w:val="false"/>
          <w:color w:val="1A1A1A"/>
          <w:sz w:val="21"/>
          <w:szCs w:val="21"/>
        </w:rPr>
        <w:t xml:space="preserve">KEINE rechtsverbindlichen Zusagen</w:t>
      </w:r>
      <w:r>
        <w:rPr>
          <w:rFonts w:ascii="Arial" w:cs="Arial" w:eastAsia="Arial" w:hAnsi="Arial"/>
          <w:b w:val="false"/>
          <w:bCs w:val="false"/>
          <w:i w:val="false"/>
          <w:iCs w:val="false"/>
          <w:color w:val="1A1A1A"/>
          <w:sz w:val="21"/>
          <w:szCs w:val="21"/>
        </w:rPr>
        <w:t xml:space="preserve"> ab (keine Preis- oder Konditionszusagen, Bestellungen oder Vertragsschlüsse). Sie sind auf </w:t>
      </w:r>
      <w:r>
        <w:rPr>
          <w:rFonts w:ascii="Arial" w:cs="Arial" w:eastAsia="Arial" w:hAnsi="Arial"/>
          <w:b/>
          <w:bCs/>
          <w:i w:val="false"/>
          <w:iCs w:val="false"/>
          <w:color w:val="1A1A1A"/>
          <w:sz w:val="21"/>
          <w:szCs w:val="21"/>
        </w:rPr>
        <w:t xml:space="preserve">Auskunft und Terminvereinbarung</w:t>
      </w:r>
      <w:r>
        <w:rPr>
          <w:rFonts w:ascii="Arial" w:cs="Arial" w:eastAsia="Arial" w:hAnsi="Arial"/>
          <w:b w:val="false"/>
          <w:bCs w:val="false"/>
          <w:i w:val="false"/>
          <w:iCs w:val="false"/>
          <w:color w:val="1A1A1A"/>
          <w:sz w:val="21"/>
          <w:szCs w:val="21"/>
        </w:rPr>
        <w:t xml:space="preserve"> innerhalb der hinterlegten Verfügbarkeiten beschränkt (</w:t>
      </w:r>
      <w:r>
        <w:rPr>
          <w:rFonts w:ascii="Arial" w:cs="Arial" w:eastAsia="Arial" w:hAnsi="Arial"/>
          <w:b/>
          <w:bCs/>
          <w:i w:val="false"/>
          <w:iCs w:val="false"/>
          <w:color w:val="1A1A1A"/>
          <w:sz w:val="21"/>
          <w:szCs w:val="21"/>
        </w:rPr>
        <w:t xml:space="preserve">keine Abschlussvollmacht</w:t>
      </w:r>
      <w:r>
        <w:rPr>
          <w:rFonts w:ascii="Arial" w:cs="Arial" w:eastAsia="Arial" w:hAnsi="Arial"/>
          <w:b w:val="false"/>
          <w:bCs w:val="false"/>
          <w:i w:val="false"/>
          <w:iCs w:val="false"/>
          <w:color w:val="1A1A1A"/>
          <w:sz w:val="21"/>
          <w:szCs w:val="21"/>
        </w:rPr>
        <w:t xml:space="preserve">, § 6 des Rahmenvertrags).</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11.  </w:t>
      </w:r>
      <w:r>
        <w:rPr>
          <w:rFonts w:ascii="Arial" w:cs="Arial" w:eastAsia="Arial" w:hAnsi="Arial"/>
          <w:b/>
          <w:bCs/>
          <w:i w:val="false"/>
          <w:iCs w:val="false"/>
          <w:color w:val="0B0B0F"/>
          <w:sz w:val="24"/>
          <w:szCs w:val="24"/>
        </w:rPr>
        <w:t xml:space="preserve">KI-Transparenz und Aufzeichnung</w:t>
      </w:r>
    </w:p>
    <w:p>
      <w:pPr>
        <w:spacing w:after="120" w:line="276"/>
        <w:jc w:val="both"/>
      </w:pPr>
      <w:r>
        <w:rPr>
          <w:rFonts w:ascii="Arial" w:cs="Arial" w:eastAsia="Arial" w:hAnsi="Arial"/>
          <w:b w:val="false"/>
          <w:bCs w:val="false"/>
          <w:i w:val="false"/>
          <w:iCs w:val="false"/>
          <w:color w:val="1A1A1A"/>
          <w:sz w:val="21"/>
          <w:szCs w:val="21"/>
        </w:rPr>
        <w:t xml:space="preserve">Die </w:t>
      </w:r>
      <w:r>
        <w:rPr>
          <w:rFonts w:ascii="Arial" w:cs="Arial" w:eastAsia="Arial" w:hAnsi="Arial"/>
          <w:b/>
          <w:bCs/>
          <w:i w:val="false"/>
          <w:iCs w:val="false"/>
          <w:color w:val="1A1A1A"/>
          <w:sz w:val="21"/>
          <w:szCs w:val="21"/>
        </w:rPr>
        <w:t xml:space="preserve">KI-Kennzeichnung/Transparenzpflicht nach Art. 50 KI-VO</w:t>
      </w:r>
      <w:r>
        <w:rPr>
          <w:rFonts w:ascii="Arial" w:cs="Arial" w:eastAsia="Arial" w:hAnsi="Arial"/>
          <w:b w:val="false"/>
          <w:bCs w:val="false"/>
          <w:i w:val="false"/>
          <w:iCs w:val="false"/>
          <w:color w:val="1A1A1A"/>
          <w:sz w:val="21"/>
          <w:szCs w:val="21"/>
        </w:rPr>
        <w:t xml:space="preserve"> ist verbindlicher, nicht abschaltbarer Leistungsbestandteil: Endnutzer werden stets darauf hingewiesen, dass sie mit einem KI-System interagieren. Für den NexAI Mailagent gilt Anlage A Ziffer 5.4 Abs. (6).</w:t>
      </w:r>
    </w:p>
    <w:p>
      <w:pPr>
        <w:spacing w:after="120" w:line="276"/>
        <w:jc w:val="both"/>
      </w:pPr>
      <w:r>
        <w:rPr>
          <w:rFonts w:ascii="Arial" w:cs="Arial" w:eastAsia="Arial" w:hAnsi="Arial"/>
          <w:b w:val="false"/>
          <w:bCs w:val="false"/>
          <w:i w:val="false"/>
          <w:iCs w:val="false"/>
          <w:color w:val="1A1A1A"/>
          <w:sz w:val="21"/>
          <w:szCs w:val="21"/>
        </w:rPr>
        <w:t xml:space="preserve">Eine </w:t>
      </w:r>
      <w:r>
        <w:rPr>
          <w:rFonts w:ascii="Arial" w:cs="Arial" w:eastAsia="Arial" w:hAnsi="Arial"/>
          <w:b/>
          <w:bCs/>
          <w:i w:val="false"/>
          <w:iCs w:val="false"/>
          <w:color w:val="1A1A1A"/>
          <w:sz w:val="21"/>
          <w:szCs w:val="21"/>
        </w:rPr>
        <w:t xml:space="preserve">Tonaufzeichnung</w:t>
      </w:r>
      <w:r>
        <w:rPr>
          <w:rFonts w:ascii="Arial" w:cs="Arial" w:eastAsia="Arial" w:hAnsi="Arial"/>
          <w:b w:val="false"/>
          <w:bCs w:val="false"/>
          <w:i w:val="false"/>
          <w:iCs w:val="false"/>
          <w:color w:val="1A1A1A"/>
          <w:sz w:val="21"/>
          <w:szCs w:val="21"/>
        </w:rPr>
        <w:t xml:space="preserve"> von Gesprächen ist </w:t>
      </w:r>
      <w:r>
        <w:rPr>
          <w:rFonts w:ascii="Arial" w:cs="Arial" w:eastAsia="Arial" w:hAnsi="Arial"/>
          <w:b/>
          <w:bCs/>
          <w:i w:val="false"/>
          <w:iCs w:val="false"/>
          <w:color w:val="1A1A1A"/>
          <w:sz w:val="21"/>
          <w:szCs w:val="21"/>
        </w:rPr>
        <w:t xml:space="preserve">standardmäßig deaktiviert</w:t>
      </w:r>
      <w:r>
        <w:rPr>
          <w:rFonts w:ascii="Arial" w:cs="Arial" w:eastAsia="Arial" w:hAnsi="Arial"/>
          <w:b w:val="false"/>
          <w:bCs w:val="false"/>
          <w:i w:val="false"/>
          <w:iCs w:val="false"/>
          <w:color w:val="1A1A1A"/>
          <w:sz w:val="21"/>
          <w:szCs w:val="21"/>
        </w:rPr>
        <w:t xml:space="preserve">; Wortprotokolle speichert NexAI nicht dauerhaft (§ 5 des Rahmenvertrags). Beides wird nur auf dokumentierte Weisung des Kunden aktiviert; dann erfolgt zusätzlich zur KI-Ansage ein Aufzeichnungshinweis. Der Kunde ist für das Vorliegen einer tragfähigen Rechtsgrundlage verantwortlich.</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Tonaufzeichnung und dauerhafte Speicherung von Wortprotokollen </w:t>
      </w:r>
      <w:r>
        <w:rPr>
          <w:rFonts w:ascii="Arial" w:cs="Arial" w:eastAsia="Arial" w:hAnsi="Arial"/>
          <w:b/>
          <w:bCs/>
          <w:i w:val="false"/>
          <w:iCs w:val="false"/>
          <w:color w:val="1A1A1A"/>
          <w:sz w:val="21"/>
          <w:szCs w:val="21"/>
        </w:rPr>
        <w:t xml:space="preserve">deaktiviert (Standard)</w:t>
      </w:r>
      <w:r>
        <w:rPr>
          <w:rFonts w:ascii="Arial" w:cs="Arial" w:eastAsia="Arial" w:hAnsi="Arial"/>
          <w:b w:val="false"/>
          <w:bCs w:val="false"/>
          <w:i w:val="false"/>
          <w:iCs w:val="false"/>
          <w:color w:val="1A1A1A"/>
          <w:sz w:val="21"/>
          <w:szCs w:val="21"/>
        </w:rPr>
        <w:t xml:space="preserve">.</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Tonaufzeichnung bzw. dauerhafte Speicherung von Wortprotokollen </w:t>
      </w:r>
      <w:r>
        <w:rPr>
          <w:rFonts w:ascii="Arial" w:cs="Arial" w:eastAsia="Arial" w:hAnsi="Arial"/>
          <w:b/>
          <w:bCs/>
          <w:i w:val="false"/>
          <w:iCs w:val="false"/>
          <w:color w:val="1A1A1A"/>
          <w:sz w:val="21"/>
          <w:szCs w:val="21"/>
        </w:rPr>
        <w:t xml:space="preserve">auf Weisung aktiviert</w:t>
      </w:r>
      <w:r>
        <w:rPr>
          <w:rFonts w:ascii="Arial" w:cs="Arial" w:eastAsia="Arial" w:hAnsi="Arial"/>
          <w:b w:val="false"/>
          <w:bCs w:val="false"/>
          <w:i w:val="false"/>
          <w:iCs w:val="false"/>
          <w:color w:val="1A1A1A"/>
          <w:sz w:val="21"/>
          <w:szCs w:val="21"/>
        </w:rPr>
        <w:t xml:space="preserve"> (Pflicht-Ansage mit Aufzeichnungshinweis).</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12.  </w:t>
      </w:r>
      <w:r>
        <w:rPr>
          <w:rFonts w:ascii="Arial" w:cs="Arial" w:eastAsia="Arial" w:hAnsi="Arial"/>
          <w:b/>
          <w:bCs/>
          <w:i w:val="false"/>
          <w:iCs w:val="false"/>
          <w:color w:val="0B0B0F"/>
          <w:sz w:val="24"/>
          <w:szCs w:val="24"/>
        </w:rPr>
        <w:t xml:space="preserve">Rufnummern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Rufnummer(n) </w:t>
      </w:r>
      <w:r>
        <w:rPr>
          <w:rFonts w:ascii="Arial" w:cs="Arial" w:eastAsia="Arial" w:hAnsi="Arial"/>
          <w:b/>
          <w:bCs/>
          <w:i w:val="false"/>
          <w:iCs w:val="false"/>
          <w:color w:val="1A1A1A"/>
          <w:sz w:val="21"/>
          <w:szCs w:val="21"/>
        </w:rPr>
        <w:t xml:space="preserve">vom Kunden mitgebracht</w:t>
      </w:r>
      <w:r>
        <w:rPr>
          <w:rFonts w:ascii="Arial" w:cs="Arial" w:eastAsia="Arial" w:hAnsi="Arial"/>
          <w:b w:val="false"/>
          <w:bCs w:val="false"/>
          <w:i w:val="false"/>
          <w:iCs w:val="false"/>
          <w:color w:val="1A1A1A"/>
          <w:sz w:val="21"/>
          <w:szCs w:val="21"/>
        </w:rPr>
        <w:t xml:space="preserve"> (Kundeneigentum).</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Rufnummer(n) </w:t>
      </w:r>
      <w:r>
        <w:rPr>
          <w:rFonts w:ascii="Arial" w:cs="Arial" w:eastAsia="Arial" w:hAnsi="Arial"/>
          <w:b/>
          <w:bCs/>
          <w:i w:val="false"/>
          <w:iCs w:val="false"/>
          <w:color w:val="1A1A1A"/>
          <w:sz w:val="21"/>
          <w:szCs w:val="21"/>
        </w:rPr>
        <w:t xml:space="preserve">von NexAI gestellt</w:t>
      </w:r>
      <w:r>
        <w:rPr>
          <w:rFonts w:ascii="Arial" w:cs="Arial" w:eastAsia="Arial" w:hAnsi="Arial"/>
          <w:b w:val="false"/>
          <w:bCs w:val="false"/>
          <w:i w:val="false"/>
          <w:iCs w:val="false"/>
          <w:color w:val="1A1A1A"/>
          <w:sz w:val="21"/>
          <w:szCs w:val="21"/>
        </w:rPr>
        <w:t xml:space="preserve"> (Betriebsmittel; kein Herausgabeanspruch).</w:t>
      </w:r>
    </w:p>
    <w:p>
      <w:pPr>
        <w:spacing w:after="120"/>
      </w:pPr>
      <w:r>
        <w:rPr>
          <w:rFonts w:ascii="Arial" w:cs="Arial" w:eastAsia="Arial" w:hAnsi="Arial"/>
          <w:b/>
          <w:bCs/>
          <w:color w:val="1A1A1A"/>
          <w:sz w:val="21"/>
          <w:szCs w:val="21"/>
        </w:rPr>
        <w:t xml:space="preserve">Betroffene Rufnummer(n):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Registrierungsinhaber der Rufnummer(n): </w:t>
      </w:r>
      <w:r>
        <w:rPr>
          <w:rFonts w:ascii="Arial" w:cs="Arial" w:eastAsia="Arial" w:hAnsi="Arial"/>
          <w:color w:val="6B7280"/>
          <w:sz w:val="21"/>
          <w:szCs w:val="21"/>
          <w:u w:val="single"/>
        </w:rPr>
        <w:t xml:space="preserve">                                                </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13.  </w:t>
      </w:r>
      <w:r>
        <w:rPr>
          <w:rFonts w:ascii="Arial" w:cs="Arial" w:eastAsia="Arial" w:hAnsi="Arial"/>
          <w:b/>
          <w:bCs/>
          <w:i w:val="false"/>
          <w:iCs w:val="false"/>
          <w:color w:val="0B0B0F"/>
          <w:sz w:val="24"/>
          <w:szCs w:val="24"/>
        </w:rPr>
        <w:t xml:space="preserve">Notfall- und Rückfallkontakt</w:t>
      </w:r>
    </w:p>
    <w:p>
      <w:pPr>
        <w:spacing w:after="120"/>
      </w:pPr>
      <w:r>
        <w:rPr>
          <w:rFonts w:ascii="Arial" w:cs="Arial" w:eastAsia="Arial" w:hAnsi="Arial"/>
          <w:b/>
          <w:bCs/>
          <w:color w:val="1A1A1A"/>
          <w:sz w:val="21"/>
          <w:szCs w:val="21"/>
        </w:rPr>
        <w:t xml:space="preserve">Notfallkontakt (Name):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Notfallkontakt (Telefon / E-Mail):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Rückfallnummer für gescheiterte Weiterleitungen im Gespräch: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Bei Ausfall der Telefonie erfolgt keine automatische Umleitung; der Kunde richtet hierfür eine Rufumleitung bei seinem Netzbetreiber ein (Anlage C Ziffer 8 Abs. (2)).</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14.  </w:t>
      </w:r>
      <w:r>
        <w:rPr>
          <w:rFonts w:ascii="Arial" w:cs="Arial" w:eastAsia="Arial" w:hAnsi="Arial"/>
          <w:b/>
          <w:bCs/>
          <w:i w:val="false"/>
          <w:iCs w:val="false"/>
          <w:color w:val="0B0B0F"/>
          <w:sz w:val="24"/>
          <w:szCs w:val="24"/>
        </w:rPr>
        <w:t xml:space="preserve">Einrichtung und Start</w:t>
      </w:r>
    </w:p>
    <w:p>
      <w:pPr>
        <w:spacing w:after="120"/>
      </w:pPr>
      <w:r>
        <w:rPr>
          <w:rFonts w:ascii="Arial" w:cs="Arial" w:eastAsia="Arial" w:hAnsi="Arial"/>
          <w:b/>
          <w:bCs/>
          <w:color w:val="1A1A1A"/>
          <w:sz w:val="21"/>
          <w:szCs w:val="21"/>
        </w:rPr>
        <w:t xml:space="preserve">Geplanter Einrichtungs-/Startzeitpunkt: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Übliche Einrichtungsdauer ab vollständiger Bereitstellung der erforderlichen Mitwirkung und Zugänge: 3–10 Werktage; bei Projektanwendungen nach dem vereinbarten Zeitplan. Der genannte Zeitpunkt ist ein unverbindlicher Zielwert, kein Fixtermin im Sinne des § 323 Abs. 2 Nr. 2 BGB.</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15.  </w:t>
      </w:r>
      <w:r>
        <w:rPr>
          <w:rFonts w:ascii="Arial" w:cs="Arial" w:eastAsia="Arial" w:hAnsi="Arial"/>
          <w:b/>
          <w:bCs/>
          <w:i w:val="false"/>
          <w:iCs w:val="false"/>
          <w:color w:val="0B0B0F"/>
          <w:sz w:val="24"/>
          <w:szCs w:val="24"/>
        </w:rPr>
        <w:t xml:space="preserve">Optionale Ablösesumme (Prompt-Weiternutzung)</w:t>
      </w:r>
    </w:p>
    <w:p>
      <w:pPr>
        <w:spacing w:after="120" w:line="276"/>
        <w:jc w:val="both"/>
      </w:pPr>
      <w:r>
        <w:rPr>
          <w:rFonts w:ascii="Arial" w:cs="Arial" w:eastAsia="Arial" w:hAnsi="Arial"/>
          <w:b w:val="false"/>
          <w:bCs w:val="false"/>
          <w:i w:val="false"/>
          <w:iCs w:val="false"/>
          <w:color w:val="1A1A1A"/>
          <w:sz w:val="21"/>
          <w:szCs w:val="21"/>
        </w:rPr>
        <w:t xml:space="preserve">Optional kann eine einmalige Ablösesumme für die dauerhafte Weiternutzung der für den Kunden erstellten Prompts/Konfigurationen nach Vertragsende vereinbart werden. Ohne eine solche Vereinbarung besteht kein Anspruch auf Herausgabe oder Weiternutzung der Prompts/Konfigurationen.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Ablösesumme für dauerhafte Prompt-Weiternutzung nach Vertragsende </w:t>
      </w:r>
      <w:r>
        <w:rPr>
          <w:rFonts w:ascii="Arial" w:cs="Arial" w:eastAsia="Arial" w:hAnsi="Arial"/>
          <w:b/>
          <w:bCs/>
          <w:i w:val="false"/>
          <w:iCs w:val="false"/>
          <w:color w:val="1A1A1A"/>
          <w:sz w:val="21"/>
          <w:szCs w:val="21"/>
        </w:rPr>
        <w:t xml:space="preserve">vereinbart</w:t>
      </w:r>
      <w:r>
        <w:rPr>
          <w:rFonts w:ascii="Arial" w:cs="Arial" w:eastAsia="Arial" w:hAnsi="Arial"/>
          <w:b w:val="false"/>
          <w:bCs w:val="false"/>
          <w:i w:val="false"/>
          <w:iCs w:val="false"/>
          <w:color w:val="1A1A1A"/>
          <w:sz w:val="21"/>
          <w:szCs w:val="21"/>
        </w:rPr>
        <w:t xml:space="preserve">.</w:t>
      </w:r>
    </w:p>
    <w:p>
      <w:pPr>
        <w:spacing w:after="120"/>
      </w:pPr>
      <w:r>
        <w:rPr>
          <w:rFonts w:ascii="Arial" w:cs="Arial" w:eastAsia="Arial" w:hAnsi="Arial"/>
          <w:b/>
          <w:bCs/>
          <w:color w:val="1A1A1A"/>
          <w:sz w:val="21"/>
          <w:szCs w:val="21"/>
        </w:rPr>
        <w:t xml:space="preserve">Ablösesumme (netto): </w:t>
      </w:r>
      <w:r>
        <w:rPr>
          <w:rFonts w:ascii="Arial" w:cs="Arial" w:eastAsia="Arial" w:hAnsi="Arial"/>
          <w:color w:val="1A1A1A"/>
          <w:sz w:val="21"/>
          <w:szCs w:val="21"/>
        </w:rPr>
        <w:t xml:space="preserve">____ EUR</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16.  </w:t>
      </w:r>
      <w:r>
        <w:rPr>
          <w:rFonts w:ascii="Arial" w:cs="Arial" w:eastAsia="Arial" w:hAnsi="Arial"/>
          <w:b/>
          <w:bCs/>
          <w:i w:val="false"/>
          <w:iCs w:val="false"/>
          <w:color w:val="0B0B0F"/>
          <w:sz w:val="24"/>
          <w:szCs w:val="24"/>
        </w:rPr>
        <w:t xml:space="preserve">Schlussbestätigung</w:t>
      </w:r>
    </w:p>
    <w:p>
      <w:pPr>
        <w:spacing w:after="120" w:line="276"/>
        <w:jc w:val="both"/>
      </w:pPr>
      <w:r>
        <w:rPr>
          <w:rFonts w:ascii="Arial" w:cs="Arial" w:eastAsia="Arial" w:hAnsi="Arial"/>
          <w:b w:val="false"/>
          <w:bCs w:val="false"/>
          <w:i w:val="false"/>
          <w:iCs w:val="false"/>
          <w:color w:val="1A1A1A"/>
          <w:sz w:val="21"/>
          <w:szCs w:val="21"/>
        </w:rPr>
        <w:t xml:space="preserve">Die Parteien bestätigen die Richtigkeit der vorstehenden Angaben. Dieser Leistungsschein wird mit beidseitiger Unterzeichnung wirksam und ist Bestandteil des Rahmenvertrags.</w:t>
      </w:r>
    </w:p>
    <w:p>
      <w:pPr>
        <w:spacing w:after="120" w:line="276"/>
        <w:jc w:val="both"/>
      </w:pPr>
      <w:r>
        <w:rPr>
          <w:rFonts w:ascii="Arial" w:cs="Arial" w:eastAsia="Arial" w:hAnsi="Arial"/>
          <w:b/>
          <w:bCs/>
          <w:i w:val="false"/>
          <w:iCs w:val="false"/>
          <w:color w:val="1A1A1A"/>
          <w:sz w:val="21"/>
          <w:szCs w:val="21"/>
        </w:rPr>
        <w:t xml:space="preserve">Hinweis zur Unterschrift für NexAI.</w:t>
      </w:r>
      <w:r>
        <w:rPr>
          <w:rFonts w:ascii="Arial" w:cs="Arial" w:eastAsia="Arial" w:hAnsi="Arial"/>
          <w:b w:val="false"/>
          <w:bCs w:val="false"/>
          <w:i w:val="false"/>
          <w:iCs w:val="false"/>
          <w:color w:val="1A1A1A"/>
          <w:sz w:val="21"/>
          <w:szCs w:val="21"/>
        </w:rPr>
        <w:t xml:space="preserve"> Für NexAI unterschreibt ein Gesellschafter (jeder ist nach § 720 Abs. 2 BGB allein ermächtigt) oder eine von NexAI bevollmächtigte Person aus dem Vertrieb, nämlich ein Closer oder die Vertriebsleitung, mit dem Zusatz „in Vollmacht für NexAI“. Diese Personen sind selbständige Handelsvertreter. </w:t>
      </w:r>
      <w:r>
        <w:rPr>
          <w:rFonts w:ascii="Arial" w:cs="Arial" w:eastAsia="Arial" w:hAnsi="Arial"/>
          <w:b/>
          <w:bCs/>
          <w:i w:val="false"/>
          <w:iCs w:val="false"/>
          <w:color w:val="1A1A1A"/>
          <w:sz w:val="21"/>
          <w:szCs w:val="21"/>
        </w:rPr>
        <w:t xml:space="preserve">Closer:</w:t>
      </w:r>
      <w:r>
        <w:rPr>
          <w:rFonts w:ascii="Arial" w:cs="Arial" w:eastAsia="Arial" w:hAnsi="Arial"/>
          <w:b w:val="false"/>
          <w:bCs w:val="false"/>
          <w:i w:val="false"/>
          <w:iCs w:val="false"/>
          <w:color w:val="1A1A1A"/>
          <w:sz w:val="21"/>
          <w:szCs w:val="21"/>
        </w:rPr>
        <w:t xml:space="preserve"> Die Vollmacht eines Closers umfasst nur Verträge mit Unternehmern (§ 14 BGB) mit Sitz in Deutschland und nur den Abschluss in den unveränderten, von NexAI freigegebenen Vertragsdokumenten (Rahmenvertrag, dieser Leistungsschein, Anlagen A bis C, AGB, Vertrag zur Auftragsverarbeitung); Preise, Mengen und Kontingente (Ziffern 5 und 6) nur nach der Preisliste von NexAI. Nicht umfasst sind insbesondere Abweichungen vom Listenpreis, Rabatte, Freimonate, Stundungen, der Verzicht auf Einrichtungsgebühren, Sonderkonditionen und sonstige Zusagen, Abweichungen von den Vorgabewerten dieses Leistungsscheins (etwa Aufbewahrungsfristen über der Vorgabe, Kostendeckel und Spend-Cap), freie Leistungsbeschreibungen, die Ablösesumme (Ziffer 15), Änderungen, Streichungen oder Ergänzungen der Vertragsdokumente einschließlich des Vertrags zur Auftragsverarbeitung und Einträge zu ergänzenden oder abweichenden Subunternehmern, Kauflizenzen und Projektanwendungen (Ziffer 3.4, Anlage E), das Abnahmeprotokoll (Anlage D) sowie die Annahme von Zahlungen. Enthält ein von einem Closer unterschriebener Vertrag solche Abreden, wird er erst wirksam, wenn NexAI ihn in Textform genehmigt; liegt die Vergütung nach der Berechnung im folgenden Abschnitt „Vertriebsleitung“ mehr als zehn Prozent unter dem Listenpreis, kann nur ein Gesellschafter genehmigen. Verweigert NexAI die Genehmigung, kommt er nicht zustande. </w:t>
      </w:r>
      <w:r>
        <w:rPr>
          <w:rFonts w:ascii="Arial" w:cs="Arial" w:eastAsia="Arial" w:hAnsi="Arial"/>
          <w:b/>
          <w:bCs/>
          <w:i w:val="false"/>
          <w:iCs w:val="false"/>
          <w:color w:val="1A1A1A"/>
          <w:sz w:val="21"/>
          <w:szCs w:val="21"/>
        </w:rPr>
        <w:t xml:space="preserve">Vertriebsleitung:</w:t>
      </w:r>
      <w:r>
        <w:rPr>
          <w:rFonts w:ascii="Arial" w:cs="Arial" w:eastAsia="Arial" w:hAnsi="Arial"/>
          <w:b w:val="false"/>
          <w:bCs w:val="false"/>
          <w:i w:val="false"/>
          <w:iCs w:val="false"/>
          <w:color w:val="1A1A1A"/>
          <w:sz w:val="21"/>
          <w:szCs w:val="21"/>
        </w:rPr>
        <w:t xml:space="preserve"> Vertriebsleitung ist die unten genannte Person; einen Wechsel oder das Erlöschen ihrer Vollmacht teilt NexAI dem Kunden in Textform mit. Sie vertritt NexAI bei Verträgen mit dem Kunden im selben Umfang wie ein Gesellschafter, auch bei Kauflizenzen und Projektanwendungen (Anlage E) und beim Abnahmeprotokoll (Anlage D), mit folgenden Grenzen: Sie nimmt keine Zahlungen an und schließt keine Verträge mit sich selbst, mit Unternehmen, an denen sie beteiligt ist, oder als Vertreter eines Dritten (§ 181 BGB). Kündigungen, Rücktritte, Aufhebungen, Deaktivierungen und Erstattungen erklärt sie nur mit Zustimmung der Gesellschafter; ausgenommen ist die Kündigung wegen Zahlungsverzugs nach Abschluss des außergerichtlichen Mahnverfahrens von NexAI. Vom Listenpreis darf sie höchstens um zehn Prozent (10 %) nach unten abweichen. Verglichen wird für jedes Vertrags- oder Pflegejahr gesondert die Summe der vereinbarten Beträge mit der Summe der Listenpreise; Einmalentgelte zählen zu dem Jahr, in dem sie fällig werden. Rabatte, Freimonate, der Verzicht auf Einrichtungsgebühren, Mengen, Kontingente oder Leistungen ohne Aufpreis und sonstige Preisvorteile gehen mit ihrem Listenwert ein; das gilt auch für spätere Änderungen und Verlängerungen. Liegt die Vergütung weiter darunter, wird der Vertrag erst wirksam, wenn ein Gesellschafter von NexAI ihn in Textform genehmigt; verweigert NexAI die Genehmigung, kommt er nicht zustande. Zusagen außerhalb der Vertragsdokumente binden NexAI nur, wenn ein Gesellschafter sie in Textform bestätigt oder die Vertriebsleitung sie innerhalb dieser Grenzen in Textform bestätigt. Personen aus dem Vertrieb von NexAI, auch Closer und die Vertriebsleitung, sind nicht ermächtigt, für NexAI Mängelanzeigen und ähnliche Erklärungen (§ 91 Abs. 2, § 55 Abs. 4 HGB), Abnahmeerklärungen, Kündigungen oder sonstige Erklärungen zum Vertrag entgegenzunehmen; ausgenommen ist die Abnahme in einem Abnahmeprotokoll (Anlage D), das die Vertriebsleitung für NexAI mitunterzeichnet. Solche Erklärungen sind an mbt@nex-a-i.com zu richten, Störungsmeldungen auch über die Supportkanäle nach Anlage C Ziffer 3. Jeder Gesellschafter und die Vertriebsleitung sind auch allein ermächtigt, für NexAI Verträge abzulehnen und ihre Genehmigung zu verweigern.</w:t>
      </w:r>
    </w:p>
    <w:p>
      <w:pPr>
        <w:spacing w:after="120"/>
      </w:pPr>
      <w:r>
        <w:rPr>
          <w:rFonts w:ascii="Arial" w:cs="Arial" w:eastAsia="Arial" w:hAnsi="Arial"/>
          <w:b/>
          <w:bCs/>
          <w:color w:val="1A1A1A"/>
          <w:sz w:val="21"/>
          <w:szCs w:val="21"/>
        </w:rPr>
        <w:t xml:space="preserve">Vertriebsleitung von NexAI (Name; trägt ein Gesellschafter von NexAI ein, nicht die Vertriebsleitung selbst): </w:t>
      </w:r>
      <w:r>
        <w:rPr>
          <w:rFonts w:ascii="Arial" w:cs="Arial" w:eastAsia="Arial" w:hAnsi="Arial"/>
          <w:color w:val="6B7280"/>
          <w:sz w:val="21"/>
          <w:szCs w:val="21"/>
          <w:u w:val="single"/>
        </w:rPr>
        <w:t xml:space="preserve">                                                </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hat den Hinweis zur Unterschrift für NexAI zur Kenntnis genommen.</w:t>
      </w:r>
    </w:p>
    <w:p>
      <w:pPr>
        <w:spacing w:after="16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Funktion (Gesellschafter oder in Vollmacht für NexAI)</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Anlage A – Leistungsbeschreibung</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Anlage zum Rahmenvertrag über die Bereitstellung und den Betrieb KI-gestützter digitaler Assistenten zwischen NexAI und dem Kunden</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Vorbemerkung und Rangfolge</w:t>
      </w:r>
    </w:p>
    <w:p>
      <w:pPr>
        <w:spacing w:after="120" w:line="276"/>
        <w:jc w:val="both"/>
      </w:pPr>
      <w:r>
        <w:rPr>
          <w:rFonts w:ascii="Arial" w:cs="Arial" w:eastAsia="Arial" w:hAnsi="Arial"/>
          <w:b w:val="false"/>
          <w:bCs w:val="false"/>
          <w:i w:val="false"/>
          <w:iCs w:val="false"/>
          <w:color w:val="1A1A1A"/>
          <w:sz w:val="21"/>
          <w:szCs w:val="21"/>
        </w:rPr>
        <w:t xml:space="preserve">Diese Anlage A (Leistungsbeschreibung) konkretisiert den Gegenstand und den Umfang der von der </w:t>
      </w: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jeder allein (§ 720 Abs. 2 BGB), oder durch eine bevollmächtigte Person (Ziffer 16 des Leistungsscheins) (nachfolgend "NexAI"), gegenüber dem Kunden (nachfolgend "Kunde") erbrachten Leistungen. Sie ist Bestandteil des Rahmenvertrages und gilt nur in Verbindung mit dem jeweils unterzeichneten Auftragsformular/Leistungsschein.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Maßgeblich für den im Einzelfall geschuldeten Leistungsumfang sind ausschließlich das jeweils unterzeichnete </w:t>
      </w:r>
      <w:r>
        <w:rPr>
          <w:rFonts w:ascii="Arial" w:cs="Arial" w:eastAsia="Arial" w:hAnsi="Arial"/>
          <w:b/>
          <w:bCs/>
          <w:i w:val="false"/>
          <w:iCs w:val="false"/>
          <w:color w:val="1A1A1A"/>
          <w:sz w:val="21"/>
          <w:szCs w:val="21"/>
        </w:rPr>
        <w:t xml:space="preserve">Auftragsformular/Leistungsschein</w:t>
      </w:r>
      <w:r>
        <w:rPr>
          <w:rFonts w:ascii="Arial" w:cs="Arial" w:eastAsia="Arial" w:hAnsi="Arial"/>
          <w:b w:val="false"/>
          <w:bCs w:val="false"/>
          <w:i w:val="false"/>
          <w:iCs w:val="false"/>
          <w:color w:val="1A1A1A"/>
          <w:sz w:val="21"/>
          <w:szCs w:val="21"/>
        </w:rPr>
        <w:t xml:space="preserve"> in Verbindung mit dieser Anlage A. Diese Anlage beschreibt den möglichen Leistungskatalog; geschuldet ist nur, was im Auftragsformular ausdrücklich als beauftragt gekennzeichnet ist.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Leistungen, die weder im Auftragsformular noch in dieser Anlage A ausdrücklich aufgeführt sind, sind </w:t>
      </w:r>
      <w:r>
        <w:rPr>
          <w:rFonts w:ascii="Arial" w:cs="Arial" w:eastAsia="Arial" w:hAnsi="Arial"/>
          <w:b/>
          <w:bCs/>
          <w:i w:val="false"/>
          <w:iCs w:val="false"/>
          <w:color w:val="1A1A1A"/>
          <w:sz w:val="21"/>
          <w:szCs w:val="21"/>
        </w:rPr>
        <w:t xml:space="preserve">nicht geschuldet</w:t>
      </w:r>
      <w:r>
        <w:rPr>
          <w:rFonts w:ascii="Arial" w:cs="Arial" w:eastAsia="Arial" w:hAnsi="Arial"/>
          <w:b w:val="false"/>
          <w:bCs w:val="false"/>
          <w:i w:val="false"/>
          <w:iCs w:val="false"/>
          <w:color w:val="1A1A1A"/>
          <w:sz w:val="21"/>
          <w:szCs w:val="21"/>
        </w:rPr>
        <w:t xml:space="preserve">. Sie können durch gesonderte schriftliche Vereinbarung (Change Request) beauftragt werden.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 Widersprüchen zwischen den Vertragsdokumenten gilt die im Rahmenvertrag festgelegte Rangfolge. Das Auftragsformular geht dieser Anlage A vor, soweit es abweichende oder ergänzende Festlegungen zum Leistungsumfang trifft.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in dieser Anlage verwendeten definierten Begriffe (insbesondere "Agenten", "Anwendungen", "Endnutzer", "Projektleistungen", "Betriebsleistungen", "Freikontingent", "Mehrverbrauch", "Subunternehmer") haben die im Rahmenvertrag festgelegte Bedeutung.</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Gegenstand und Leistungskategorien</w:t>
      </w:r>
    </w:p>
    <w:p>
      <w:pPr>
        <w:spacing w:after="120" w:line="276"/>
        <w:jc w:val="both"/>
      </w:pPr>
      <w:r>
        <w:rPr>
          <w:rFonts w:ascii="Arial" w:cs="Arial" w:eastAsia="Arial" w:hAnsi="Arial"/>
          <w:b w:val="false"/>
          <w:bCs w:val="false"/>
          <w:i w:val="false"/>
          <w:iCs w:val="false"/>
          <w:color w:val="1A1A1A"/>
          <w:sz w:val="21"/>
          <w:szCs w:val="21"/>
        </w:rPr>
        <w:t xml:space="preserve">NexAI stellt dem Kunden </w:t>
      </w:r>
      <w:r>
        <w:rPr>
          <w:rFonts w:ascii="Arial" w:cs="Arial" w:eastAsia="Arial" w:hAnsi="Arial"/>
          <w:b/>
          <w:bCs/>
          <w:i w:val="false"/>
          <w:iCs w:val="false"/>
          <w:color w:val="1A1A1A"/>
          <w:sz w:val="21"/>
          <w:szCs w:val="21"/>
        </w:rPr>
        <w:t xml:space="preserve">Agenten</w:t>
      </w:r>
      <w:r>
        <w:rPr>
          <w:rFonts w:ascii="Arial" w:cs="Arial" w:eastAsia="Arial" w:hAnsi="Arial"/>
          <w:b w:val="false"/>
          <w:bCs w:val="false"/>
          <w:i w:val="false"/>
          <w:iCs w:val="false"/>
          <w:color w:val="1A1A1A"/>
          <w:sz w:val="21"/>
          <w:szCs w:val="21"/>
        </w:rPr>
        <w:t xml:space="preserve"> (KI-gestützte digitale Assistenten) und </w:t>
      </w:r>
      <w:r>
        <w:rPr>
          <w:rFonts w:ascii="Arial" w:cs="Arial" w:eastAsia="Arial" w:hAnsi="Arial"/>
          <w:b/>
          <w:bCs/>
          <w:i w:val="false"/>
          <w:iCs w:val="false"/>
          <w:color w:val="1A1A1A"/>
          <w:sz w:val="21"/>
          <w:szCs w:val="21"/>
        </w:rPr>
        <w:t xml:space="preserve">Anwendungen</w:t>
      </w:r>
      <w:r>
        <w:rPr>
          <w:rFonts w:ascii="Arial" w:cs="Arial" w:eastAsia="Arial" w:hAnsi="Arial"/>
          <w:b w:val="false"/>
          <w:bCs w:val="false"/>
          <w:i w:val="false"/>
          <w:iCs w:val="false"/>
          <w:color w:val="1A1A1A"/>
          <w:sz w:val="21"/>
          <w:szCs w:val="21"/>
        </w:rPr>
        <w:t xml:space="preserve"> (Softwareanwendungen wie NexAI CRM, NexAI Kalender, NexAI Mailagent und individuelle Anwendungen) bereit und betreibt diese oder überlässt sie als Kauflizenz (Anlage E). Die Leistungen gliedern sich in zwei rechtlich unterschiedlich einzuordnende Kategorien: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Projektleistungen</w:t>
      </w:r>
      <w:r>
        <w:rPr>
          <w:rFonts w:ascii="Arial" w:cs="Arial" w:eastAsia="Arial" w:hAnsi="Arial"/>
          <w:b w:val="false"/>
          <w:bCs w:val="false"/>
          <w:i w:val="false"/>
          <w:iCs w:val="false"/>
          <w:color w:val="1A1A1A"/>
          <w:sz w:val="21"/>
          <w:szCs w:val="21"/>
        </w:rPr>
        <w:t xml:space="preserve"> – einmalige Werkleistungen mit definiertem Erfolg, insbesondere die Einrichtung und Bereitstellung von Anwendungen (Ziffer 5 sowie Ziffer 8, soweit dort Anwendungen entwickelt werden) sowie die Ersteinrichtung der Agenten (Ziffer 10). Es gilt Werkvertragsrecht; die Abnahme richtet sich nach Anlage D (Abnahmeprotokoll).</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Betriebsleistungen</w:t>
      </w:r>
      <w:r>
        <w:rPr>
          <w:rFonts w:ascii="Arial" w:cs="Arial" w:eastAsia="Arial" w:hAnsi="Arial"/>
          <w:b w:val="false"/>
          <w:bCs w:val="false"/>
          <w:i w:val="false"/>
          <w:iCs w:val="false"/>
          <w:color w:val="1A1A1A"/>
          <w:sz w:val="21"/>
          <w:szCs w:val="21"/>
        </w:rPr>
        <w:t xml:space="preserve"> – laufender Betrieb, Konfigurationspflege, Wartung, Hosting/Bereitstellung der erforderlichen Infrastruktur sowie Support der Agenten und der von NexAI betriebenen Anwendungen. Die rechtliche Einordnung richtet sich nach § 3 Abs. (2) des Rahmenvertrages; die Verfügbarkeit richtet sich nach Anlage C (SLA). Für Anwendungen, die als Kauflizenz überlassen werden, gilt Anlage E.</w:t>
      </w:r>
    </w:p>
    <w:p>
      <w:pPr>
        <w:spacing w:after="120" w:line="276"/>
        <w:jc w:val="both"/>
      </w:pPr>
      <w:r>
        <w:rPr>
          <w:rFonts w:ascii="Arial" w:cs="Arial" w:eastAsia="Arial" w:hAnsi="Arial"/>
          <w:b w:val="false"/>
          <w:bCs w:val="false"/>
          <w:i w:val="false"/>
          <w:iCs w:val="false"/>
          <w:color w:val="1A1A1A"/>
          <w:sz w:val="21"/>
          <w:szCs w:val="21"/>
        </w:rPr>
        <w:t xml:space="preserve">Welche der nachstehend in den Ziffern 3 bis 8 beschriebenen Agenten und Leistungen konkret beauftragt sind, ergibt sich aus dem Auftragsformular. Der jeweils in einem Modul enthaltene Funktionsumfang, das Freikontingent, der Netto-Einheitspreis für Mehrverbrauch (Overage) sowie etwaige mengen- oder verbrauchsabhängige Grenzen einschließlich eines technischen EUR-Spend-Caps je Agent werden im Auftragsformular festgelegt.</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Voice Agent (KI-Telefonassistent)</w:t>
      </w:r>
    </w:p>
    <w:p>
      <w:pPr>
        <w:spacing w:after="120" w:line="276"/>
        <w:jc w:val="both"/>
      </w:pPr>
      <w:r>
        <w:rPr>
          <w:rFonts w:ascii="Arial" w:cs="Arial" w:eastAsia="Arial" w:hAnsi="Arial"/>
          <w:b w:val="false"/>
          <w:bCs w:val="false"/>
          <w:i w:val="false"/>
          <w:iCs w:val="false"/>
          <w:color w:val="1A1A1A"/>
          <w:sz w:val="21"/>
          <w:szCs w:val="21"/>
        </w:rPr>
        <w:t xml:space="preserve">Der Voice Agent nimmt Sprachanrufe entgegen und interagiert im Rahmen der konfigurierten Wissensbasis und Dialoglogik mit Endnutzern.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Annahme eingehender Anrufe rund um die Uhr; ausgehende Anrufe sind derzeit nicht verfügbar und nur nach gesonderter Beauftragung möglich (§ 15 des Rahmenvertrages)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Beantwortung häufiger Fragen (FAQ) auf Grundlage der vom Kunden bereitgestellten Wissensbasis (Öffnungszeiten, Leistungen, Anfahrt, Konditionen und vergleichbare Auskünfte)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Vereinbaren, Verschieben und Absagen von Terminen unter Anbindung an das vom Kunden genutzte Kalender-/Buchungssystem, einschließlich Rückbestätigung des Termins (Read-Back) zur Vermeidung von Doppelbuchungen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Weiterleitung (Transfer) an eine vom Kunden benannte Rufnummer oder Durchwahl bei komplexen Anliegen oder auf Wunsch des Endnutzers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Erfassung von Leads und Anliegen (Name, Kontaktdaten, Anliegen) sowie strukturierte Übergabe an das vom Kunden benannte Zielsystem</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Qualifizierung von Anliegen anhand vereinbarter Kriterien (z. B. Kategorisierung, Priorisierung, Weiterleitungslogik)</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Aufnahme von Rückrufwünschen und Weitergabe von Nachrichten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Mehrsprachige Gesprächsführung nach Maßgabe der im Auftragsformular festgelegten Sprachen</w:t>
      </w:r>
    </w:p>
    <w:p>
      <w:pPr>
        <w:spacing w:after="140" w:before="80"/>
      </w:pPr>
      <w:r>
        <w:rPr>
          <w:rFonts w:ascii="Arial" w:cs="Arial" w:eastAsia="Arial" w:hAnsi="Arial"/>
          <w:b w:val="false"/>
          <w:bCs w:val="false"/>
          <w:i/>
          <w:iCs/>
          <w:color w:val="6B7280"/>
          <w:sz w:val="18"/>
          <w:szCs w:val="18"/>
        </w:rPr>
        <w:t xml:space="preserve">Zu Beginn jedes Gesprächs erfolgt die verpflichtende KI-Ansage nach Ziffer 11. Eine Tonaufzeichnung erfolgt standardmäßig nicht (Ziffer 12).</w:t>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Chat Agent (Website-/App-Chatassistent)</w:t>
      </w:r>
    </w:p>
    <w:p>
      <w:pPr>
        <w:spacing w:after="120" w:line="276"/>
        <w:jc w:val="both"/>
      </w:pPr>
      <w:r>
        <w:rPr>
          <w:rFonts w:ascii="Arial" w:cs="Arial" w:eastAsia="Arial" w:hAnsi="Arial"/>
          <w:b w:val="false"/>
          <w:bCs w:val="false"/>
          <w:i w:val="false"/>
          <w:iCs w:val="false"/>
          <w:color w:val="1A1A1A"/>
          <w:sz w:val="21"/>
          <w:szCs w:val="21"/>
        </w:rPr>
        <w:t xml:space="preserve">Der Chat Agent führt textbasierte Dialoge über den Chat einer Website, eines Portals oder einer App und unterstützt Endnutzer im Rahmen der konfigurierten Wissensbasis und Dialoglogik.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Einbindung als Chat-Widget auf der Website oder in einer App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Beratung und Beantwortung von Fragen auf Grundlage der vom Kunden bereitgestellten Wissensbasis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Empfehlung passender Produkte, Leistungen oder Angebote im Rahmen unverbindlicher Auskünfte (keine verbindlichen Preis- oder Vertragszusagen, vgl. Ziffer 13)</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Erfassung von Leads (Name, Kontaktdaten, Anliegen) und strukturierte Übergabe an das vom Kunden benannte Zielsystem</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Terminvereinbarung unter Anbindung an das vom Kunden genutzte Kalender-/Buchungssystem</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Suche in und Auskunft aus vom Kunden bereitgestellten Unterlagen und Dokumenten (z. B. Preislisten, Datenblätter, FAQ-Sammlungen)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Weiterleitung an einen menschlichen Ansprechpartner oder Übergabe des Vorgangs bei komplexen Anliegen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Mehrsprachige Kommunikation nach Maßgabe der im Auftragsformular festgelegten Sprachen</w:t>
      </w:r>
    </w:p>
    <w:p>
      <w:pPr>
        <w:spacing w:after="140" w:before="80"/>
      </w:pPr>
      <w:r>
        <w:rPr>
          <w:rFonts w:ascii="Arial" w:cs="Arial" w:eastAsia="Arial" w:hAnsi="Arial"/>
          <w:b w:val="false"/>
          <w:bCs w:val="false"/>
          <w:i/>
          <w:iCs/>
          <w:color w:val="6B7280"/>
          <w:sz w:val="18"/>
          <w:szCs w:val="18"/>
        </w:rPr>
        <w:t xml:space="preserve">Der KI-Hinweis nach Ziffer 11 wird im Chat deutlich sichtbar ausgewiesen.</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Anwendungen</w:t>
      </w:r>
    </w:p>
    <w:p>
      <w:pPr>
        <w:spacing w:after="120" w:line="276"/>
        <w:jc w:val="both"/>
      </w:pPr>
      <w:r>
        <w:rPr>
          <w:rFonts w:ascii="Arial" w:cs="Arial" w:eastAsia="Arial" w:hAnsi="Arial"/>
          <w:b w:val="false"/>
          <w:bCs w:val="false"/>
          <w:i w:val="false"/>
          <w:iCs w:val="false"/>
          <w:color w:val="1A1A1A"/>
          <w:sz w:val="21"/>
          <w:szCs w:val="21"/>
        </w:rPr>
        <w:t xml:space="preserve">Die nachstehenden Anwendungen stellt NexAI bereit, soweit sie im Auftragsformular beauftragt sind. Ihre Einrichtung ist eine Projektleistung (Ziffer 2 Abs. (1)); ihr Betrieb durch NexAI ist eine Betriebsleistung. Für die Kauflizenz und für Projektanwendungen zum Festpreis gilt ergänzend Anlage E.</w:t>
      </w:r>
    </w:p>
    <w:p>
      <w:pPr>
        <w:pStyle w:val="Heading2"/>
        <w:keepNext/>
        <w:spacing w:after="80" w:before="160"/>
      </w:pPr>
      <w:r>
        <w:rPr>
          <w:rFonts w:ascii="Arial" w:cs="Arial" w:eastAsia="Arial" w:hAnsi="Arial"/>
          <w:b/>
          <w:bCs/>
          <w:i w:val="false"/>
          <w:iCs w:val="false"/>
          <w:color w:val="0B0B0F"/>
          <w:sz w:val="21"/>
          <w:szCs w:val="21"/>
        </w:rPr>
        <w:t xml:space="preserve">5.1 NexAI CRM (Kundensystem)</w:t>
      </w:r>
    </w:p>
    <w:p>
      <w:pPr>
        <w:spacing w:after="120" w:line="276"/>
        <w:jc w:val="both"/>
      </w:pPr>
      <w:r>
        <w:rPr>
          <w:rFonts w:ascii="Arial" w:cs="Arial" w:eastAsia="Arial" w:hAnsi="Arial"/>
          <w:b w:val="false"/>
          <w:bCs w:val="false"/>
          <w:i w:val="false"/>
          <w:iCs w:val="false"/>
          <w:color w:val="1A1A1A"/>
          <w:sz w:val="21"/>
          <w:szCs w:val="21"/>
        </w:rPr>
        <w:t xml:space="preserve">Das NexAI CRM ist eine Softwareanwendung zur Verwaltung von Kontakten, Unternehmen, Anfragen und Vorgängen des Kunden. Es wird dem Kunden als </w:t>
      </w:r>
      <w:r>
        <w:rPr>
          <w:rFonts w:ascii="Arial" w:cs="Arial" w:eastAsia="Arial" w:hAnsi="Arial"/>
          <w:b/>
          <w:bCs/>
          <w:i w:val="false"/>
          <w:iCs w:val="false"/>
          <w:color w:val="1A1A1A"/>
          <w:sz w:val="21"/>
          <w:szCs w:val="21"/>
        </w:rPr>
        <w:t xml:space="preserve">Kauflizenz</w:t>
      </w:r>
      <w:r>
        <w:rPr>
          <w:rFonts w:ascii="Arial" w:cs="Arial" w:eastAsia="Arial" w:hAnsi="Arial"/>
          <w:b w:val="false"/>
          <w:bCs w:val="false"/>
          <w:i w:val="false"/>
          <w:iCs w:val="false"/>
          <w:color w:val="1A1A1A"/>
          <w:sz w:val="21"/>
          <w:szCs w:val="21"/>
        </w:rPr>
        <w:t xml:space="preserve"> zum Betrieb auf seiner eigenen Infrastruktur überlassen (Anlage E); ein Betrieb durch NexAI erfolgt nur, wenn er im Auftragsformular gesondert vereinbart ist.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Verwaltung von Kontakten und Unternehmen einschließlich Notizen, Dateianhängen und Änderungshistorie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Erfassung von Anfragen (Leads) aus den angebundenen Kanälen, insbesondere aus den beauftragten Agenten und aus Formularen der Website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Dokumentation von Anrufen einschließlich Gesprächsprotokoll, soweit der Voice Agent beauftragt und die Übergabe eingerichtet ist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Aufgaben mit Fälligkeit und automatischer Erinnerung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Abbildung von Verkaufschancen in konfigurierbaren Phasen (Pipelines)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Auswertungen und Berichte mit Ausgabe als Tabelle (CSV) und als PDF</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Benutzerkonten mit Rollen- und Rechteverwaltung sowie Anmeldung mit zweitem Faktor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Funktionen zur Wahrnehmung von Betroffenenrechten und zur Einhaltung von Löschfristen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Rechnungsstellung einschließlich elektronischer Rechnungen (ZUGFeRD/XRechnung) und Ausgabe von Buchungsdaten im DATEV-Format, soweit im Auftragsformular vereinbart und für den Kunden freigeschaltet</w:t>
      </w:r>
    </w:p>
    <w:p>
      <w:pPr>
        <w:spacing w:after="140" w:before="80"/>
      </w:pPr>
      <w:r>
        <w:rPr>
          <w:rFonts w:ascii="Arial" w:cs="Arial" w:eastAsia="Arial" w:hAnsi="Arial"/>
          <w:b w:val="false"/>
          <w:bCs w:val="false"/>
          <w:i/>
          <w:iCs/>
          <w:color w:val="6B7280"/>
          <w:sz w:val="18"/>
          <w:szCs w:val="18"/>
        </w:rPr>
        <w:t xml:space="preserve">Bei der Kauflizenz betreibt der Kunde das NexAI CRM auf seiner eigenen Infrastruktur (Anlage E). Bei Betrieb durch NexAI läuft es auf Servern in Deutschland (Anlage B, Anhang 2); die Daten verschiedener Kunden sind technisch voneinander getrennt. Für die Richtigkeit und Aktualität der eingegebenen Daten sowie für die Vergabe der Zugriffsrechte innerhalb seines Bereichs ist der Kunde verantwortlich. Die Übernahme von Daten aus einem Vorsystem ist nur geschuldet, soweit sie im Auftragsformular ausdrücklich vereinbart ist (Ziffer 14).</w:t>
      </w:r>
    </w:p>
    <w:p>
      <w:pPr>
        <w:pStyle w:val="Heading2"/>
        <w:keepNext/>
        <w:spacing w:after="80" w:before="160"/>
      </w:pPr>
      <w:r>
        <w:rPr>
          <w:rFonts w:ascii="Arial" w:cs="Arial" w:eastAsia="Arial" w:hAnsi="Arial"/>
          <w:b/>
          <w:bCs/>
          <w:i w:val="false"/>
          <w:iCs w:val="false"/>
          <w:color w:val="0B0B0F"/>
          <w:sz w:val="21"/>
          <w:szCs w:val="21"/>
        </w:rPr>
        <w:t xml:space="preserve">5.2 NexAI Kalender (Online-Terminbuchung)</w:t>
      </w:r>
    </w:p>
    <w:p>
      <w:pPr>
        <w:spacing w:after="120" w:line="276"/>
        <w:jc w:val="both"/>
      </w:pPr>
      <w:r>
        <w:rPr>
          <w:rFonts w:ascii="Arial" w:cs="Arial" w:eastAsia="Arial" w:hAnsi="Arial"/>
          <w:b w:val="false"/>
          <w:bCs w:val="false"/>
          <w:i w:val="false"/>
          <w:iCs w:val="false"/>
          <w:color w:val="1A1A1A"/>
          <w:sz w:val="21"/>
          <w:szCs w:val="21"/>
        </w:rPr>
        <w:t xml:space="preserve">Der NexAI Kalender ist eine von NexAI bereitgestellte und betriebene Softwareanwendung. Endnutzer buchen darüber selbst Termine beim Kunden; der Kunde verwaltet darin seine Termine.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Öffentliche Buchungsseite mit Auswahl von Leistung, Datum und Uhrzeit, erreichbar über einen Link oder eingebettet in die Website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Belegung des gewählten Termins bereits während des Ausfüllens (Reservierung) sowie technische Absicherung gegen Doppelbuchungen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Versand von Bestätigungen und Erinnerungen per E-Mail und/oder SMS nach Maßgabe des Auftragsformulars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Verwaltung der Termine in Tages-, Wochen-, Monats- und Listenansicht einschließlich Verschieben, Absagen und Sperrzeiten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Verwaltung von Leistungen, Öffnungszeiten, Pausen, Urlaub und Feiertagen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Kundenkartei mit Terminverlauf und Notizen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Bereitstellung als installierbare Anwendung auf Mobilgerät und Rechner einschließlich Push-Benachrichtigungen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Abonnement der Termine in einem Kalender des Kunden (einseitige Übernahme)</w:t>
      </w:r>
    </w:p>
    <w:p>
      <w:pPr>
        <w:spacing w:after="140" w:before="80"/>
      </w:pPr>
      <w:r>
        <w:rPr>
          <w:rFonts w:ascii="Arial" w:cs="Arial" w:eastAsia="Arial" w:hAnsi="Arial"/>
          <w:b w:val="false"/>
          <w:bCs w:val="false"/>
          <w:i/>
          <w:iCs/>
          <w:color w:val="6B7280"/>
          <w:sz w:val="18"/>
          <w:szCs w:val="18"/>
        </w:rPr>
        <w:t xml:space="preserve">Der Versand von SMS erfolgt über einen Unterauftragsverarbeiter (Anlage B, Anhang 2) und wird, soweit im Auftragsformular vereinbart, mengenabhängig vergütet. Die Anzeige der Rufnummer des Kunden als Absender setzt deren Verifizierung beim Versanddienstleister voraus; diese Mitwirkung obliegt dem Kunden. Für die Richtigkeit der hinterlegten Leistungen, Preise und Öffnungszeiten ist der Kunde verantwortlich.</w:t>
      </w:r>
    </w:p>
    <w:p>
      <w:pPr>
        <w:pStyle w:val="Heading2"/>
        <w:keepNext/>
        <w:spacing w:after="80" w:before="160"/>
      </w:pPr>
      <w:r>
        <w:rPr>
          <w:rFonts w:ascii="Arial" w:cs="Arial" w:eastAsia="Arial" w:hAnsi="Arial"/>
          <w:b/>
          <w:bCs/>
          <w:i w:val="false"/>
          <w:iCs w:val="false"/>
          <w:color w:val="0B0B0F"/>
          <w:sz w:val="21"/>
          <w:szCs w:val="21"/>
        </w:rPr>
        <w:t xml:space="preserve">5.3 NexAI App (individuelle Anwendung)</w:t>
      </w:r>
    </w:p>
    <w:p>
      <w:pPr>
        <w:spacing w:after="120" w:line="276"/>
        <w:jc w:val="both"/>
      </w:pPr>
      <w:r>
        <w:rPr>
          <w:rFonts w:ascii="Arial" w:cs="Arial" w:eastAsia="Arial" w:hAnsi="Arial"/>
          <w:b w:val="false"/>
          <w:bCs w:val="false"/>
          <w:i w:val="false"/>
          <w:iCs w:val="false"/>
          <w:color w:val="1A1A1A"/>
          <w:sz w:val="21"/>
          <w:szCs w:val="21"/>
        </w:rPr>
        <w:t xml:space="preserve">Sofern im Auftragsformular beauftragt, entwickelt und betreibt NexAI eine individuelle Anwendung, die im Namen und im Erscheinungsbild des Kunden auftritt und von Endnutzern auf Mobilgerät und Rechner installiert werden kann. Der Funktionsumfang wird je Projekt festgelegt und umfasst – soweit vereinbart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Kundenportal (z. B. Aufträge, Rechnungen, Dokumente, Statusanzeige)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Anwendung für Beschäftigte des Kunden (z. B. Aufgaben, interne Nachrichten, Belegerfassung)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Buchungs- und Terminfunktionen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Push-Benachrichtigungen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Anbindung an die beauftragten Agenten und Anwendungen sowie an Systeme des Kunden über verfügbare Schnittstellen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Gestaltung im Erscheinungsbild des Kunden (Name, Logo, Farben)</w:t>
      </w:r>
    </w:p>
    <w:p>
      <w:pPr>
        <w:spacing w:after="140" w:before="80"/>
      </w:pPr>
      <w:r>
        <w:rPr>
          <w:rFonts w:ascii="Arial" w:cs="Arial" w:eastAsia="Arial" w:hAnsi="Arial"/>
          <w:b w:val="false"/>
          <w:bCs w:val="false"/>
          <w:i/>
          <w:iCs/>
          <w:color w:val="6B7280"/>
          <w:sz w:val="18"/>
          <w:szCs w:val="18"/>
        </w:rPr>
        <w:t xml:space="preserve">Die Anwendung wird als installierbare Web-Anwendung bereitgestellt; eine Veröffentlichung in den App-Stores von Apple oder Google ist nicht geschuldet (Ziffer 14). Der konkrete Leistungsumfang, die einzubindenden Systeme sowie etwaige Abnahmekriterien werden im Auftragsformular oder in einer gesonderten Leistungsbeschreibung je Projekt festgelegt und sind als solche Bestandteil dieser Anlage A. Enthält die Anwendung KI-gestützte Funktionen, gelten die Ziffern 11 bis 13 entsprechend. Für Festpreis, Nutzungsrecht, Betrieb und Pflege gilt Anlage E Ziffer 8.</w:t>
      </w:r>
    </w:p>
    <w:p>
      <w:pPr>
        <w:pStyle w:val="Heading2"/>
        <w:keepNext/>
        <w:spacing w:after="80" w:before="160"/>
      </w:pPr>
      <w:r>
        <w:rPr>
          <w:rFonts w:ascii="Arial" w:cs="Arial" w:eastAsia="Arial" w:hAnsi="Arial"/>
          <w:b/>
          <w:bCs/>
          <w:i w:val="false"/>
          <w:iCs w:val="false"/>
          <w:color w:val="0B0B0F"/>
          <w:sz w:val="21"/>
          <w:szCs w:val="21"/>
        </w:rPr>
        <w:t xml:space="preserve">5.4 NexAI Mailagent (Postfachassistent)</w:t>
      </w:r>
    </w:p>
    <w:p>
      <w:pPr>
        <w:spacing w:after="120" w:line="276"/>
        <w:jc w:val="both"/>
      </w:pPr>
      <w:r>
        <w:rPr>
          <w:rFonts w:ascii="Arial" w:cs="Arial" w:eastAsia="Arial" w:hAnsi="Arial"/>
          <w:b w:val="false"/>
          <w:bCs w:val="false"/>
          <w:i w:val="false"/>
          <w:iCs w:val="false"/>
          <w:color w:val="1A1A1A"/>
          <w:sz w:val="21"/>
          <w:szCs w:val="21"/>
        </w:rPr>
        <w:t xml:space="preserve">Der NexAI Mailagent ist eine von NexAI bereitgestellte und betriebene Softwareanwendung, die die im Auftragsformular benannten E-Mail-Postfächer des Kunden spiegelt, eingehende Nachrichten einstuft und Antwortentwürfe zur Freigabe durch den Kunden vorlegt.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Spiegelung der benannten Postfächer (Anbindung nach Absatz (8))</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Einstufung jeder eingehenden Nachricht nach Art und Dringlichkeit sowie Kurzfassung ihres Inhalts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Erkennung von Fristen und Terminwünschen mit Übernahme in eine Wiedervorlage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Erkennung von Rechnungen und Mahnungen einschließlich Betrag, Fälligkeit und Gläubiger sowie Übersicht der offenen Forderungen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Prüfung jeder Nachricht auf Betrugsmerkmale, insbesondere auf eine geänderte Bankverbindung eines bereits bekannten Absenders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Erstellung von Antwortentwürfen auf Grundlage der vom Kunden bereitgestellten Hausregeln, Signaturen, Antwortvorlagen und des Faktenverzeichnisses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Kennzeichnung fehlender Angaben im Entwurf als offene Lücke; fehlende Angaben werden nicht ergänzt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Freigeben, Ändern oder Verwerfen von Entwürfen durch die im Auftragsformular benannten Personen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Protokollierung jeder Freigabe mit Person, Zeitpunkt, Betreff, Wortlaut und Prüfsumme in einer verketteten Form, die nachträgliche Änderungen erkennbar macht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Freigabe durch zwei Personen (Vier-Augen-Prinzip) nach den im Auftragsformular festgelegten Schwellen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Zuweisung von Nachrichten an Personen des Kunden, jeweils begrenzt auf die für diese Person freigegebenen Postfächer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Volltextsuche im gespiegelten Bestand und Auskunft aus diesem Bestand</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Auswertung von Textinhalten aus PDF-Anhängen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Monatliche Auswertung über Aufkommen, Bearbeitung und Modellverbrauch</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Kostendeckel für den Modellverbrauch mit Warnung bei Erreichen von achtzig Prozent und Einstellung der Einstufung bei Erreichen des Deckels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Durchsetzung der Aufbewahrungsfristen nach Absatz (10) durch einen täglichen Löschlauf</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Erzeugung des Verarbeitungsverzeichnisses, der Anlage zu den technischen und organisatorischen Maßnahmen und eines Prüfberichts aus der jeweils laufenden Einrichtung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Verarbeitung der Modellanfragen nach Ziffer 3.3 des Auftragsformulars</w:t>
      </w:r>
    </w:p>
    <w:p>
      <w:pPr>
        <w:spacing w:after="120" w:line="276"/>
        <w:jc w:val="both"/>
      </w:pPr>
      <w:r>
        <w:rPr>
          <w:rFonts w:ascii="Arial" w:cs="Arial" w:eastAsia="Arial" w:hAnsi="Arial"/>
          <w:b w:val="false"/>
          <w:bCs w:val="false"/>
          <w:i w:val="false"/>
          <w:iCs w:val="false"/>
          <w:color w:val="1A1A1A"/>
          <w:sz w:val="21"/>
          <w:szCs w:val="21"/>
        </w:rPr>
        <w:t xml:space="preserve">Ergänzend gilt für den Mailagenten: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Versand.</w:t>
      </w:r>
      <w:r>
        <w:rPr>
          <w:rFonts w:ascii="Arial" w:cs="Arial" w:eastAsia="Arial" w:hAnsi="Arial"/>
          <w:b w:val="false"/>
          <w:bCs w:val="false"/>
          <w:i w:val="false"/>
          <w:iCs w:val="false"/>
          <w:color w:val="1A1A1A"/>
          <w:sz w:val="21"/>
          <w:szCs w:val="21"/>
        </w:rPr>
        <w:t xml:space="preserve"> Antworten an Dritte versendet der Mailagent nur nach Freigabe durch eine natürliche Person des Kunden. Ausgenommen sind Antworten auf Nachrichten von Absendern, deren Adresse eine Person mit der Rolle Verwaltung in der Anwendung auf die Freigabeliste setzt (selbsttätiger Versand). Jede solche Eintragung ist eine gesonderte Vereinbarung der Parteien im Sinne von § 6 Abs. (2) des Rahmenvertrages über den selbsttätigen Versand an diese Adresse; NexAI nimmt sie bereits mit diesem Vertrag an. Zugleich ist sie eine dokumentierte Weisung im Sinne von Anlage B. Die Anwendung hält Person und Zeitpunkt jeder Eintragung fest; die Verwaltung kann eine Eintragung jederzeit zurücknehmen. Der Kunde stellt sicher, dass die Rolle Verwaltung nur Personen erhalten, die ihn insoweit vertreten dürfen. Selbsttätig versendet der Mailagent nur, wenn der Entwurf keine offene Lücke, Rückfrage, Warnung oder Platzhalter enthält, der Absender nicht als auffällig eingestuft ist, kein Versuch einer Anweisung an die Anwendung erkannt wurde, der Mailagent im Entwurf keine Erklärung erkannt hat, mit der ein Vertrag geschlossen, geändert oder beendet, ein Anspruch anerkannt oder abgelehnt oder ein Antrag beschieden wird, die eingehende Nachricht nicht als Antwort auf eine selbsttätig versandte Antwort erkannt wurde und die Antwort nach den Freigaberegeln keine Freigabe durch zwei Personen erfordert. Die Erkennung arbeitet mit Merkmalen der Nachrichten; sie kann nicht jede solche Erklärung oder Antwort ausschließen. Solche Antworten tragen den Hinweis nach Absatz (6) und sind Erklärungen des Kunden (§ 6 Abs. (3) des Rahmenvertrages); Signaturen und Hinweise darin enthalten keine Werbung. [Von Max zu entscheiden: Für ihren Inhalt ist im Verhältnis der Parteien der Kunde verantwortlich, soweit der Mailagent die vorstehenden Sicherungen eingehalten hat; im Übrigen haftet NexAI nach § 12 des Rahmenvertrages.] Systemnachrichten der Anwendung, insbesondere Anmeldelinks und Buchungsmeldungen an NexAI, sind keine Antworten im Sinne dieses Absatzes.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Inhalte eingehender Nachrichten werden ausschließlich als Daten verarbeitet, nicht als Anweisung an die Anwendung. Enthält eine Nachricht eine Handlungsaufforderung, insbesondere eine Weiterleitungs- oder Zahlungsanweisung, wird diese nicht ausgeführt, sondern dem Kunden angezeigt.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Antworten werden ausschließlich an Adressen aus dem jeweiligen Nachrichtenverlauf oder an eine vom Kunden benannte Adresse versendet. Adressen, die lediglich im Text einer Nachricht stehen, werden nicht verwendet.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Mailagent löscht keine Nachrichten in den Postfächern des Kunden. Er kann Nachrichten in einen Archivordner verschieben, soweit der Kunde diese Funktion eingeschaltet lässt; ein solches Verschieben ist umkehrbar. Der Mailagent versendet keine Werbung und keine Kaltakquise und ersetzt kein Ticketsystem.</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Aus Anhängen werden Textinhalte nur aus PDF-Dateien ausgewertet. Textverarbeitungs- und Tabellendateien, insbesondere Word und Excel, werden nicht ausgewertet.</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bCs/>
          <w:i w:val="false"/>
          <w:iCs w:val="false"/>
          <w:color w:val="1A1A1A"/>
          <w:sz w:val="21"/>
          <w:szCs w:val="21"/>
        </w:rPr>
        <w:t xml:space="preserve">KI-Kennzeichnung.</w:t>
      </w:r>
      <w:r>
        <w:rPr>
          <w:rFonts w:ascii="Arial" w:cs="Arial" w:eastAsia="Arial" w:hAnsi="Arial"/>
          <w:b w:val="false"/>
          <w:bCs w:val="false"/>
          <w:i w:val="false"/>
          <w:iCs w:val="false"/>
          <w:color w:val="1A1A1A"/>
          <w:sz w:val="21"/>
          <w:szCs w:val="21"/>
        </w:rPr>
        <w:t xml:space="preserve"> Jede vom Mailagenten erstellte Nachricht trägt eine maschinenlesbare KI-Kennzeichnung im Nachrichtenkopf. Selbsttätig versandte Nachrichten (Absatz (1) Satz 2) tragen zusätzlich einen sichtbaren, nicht abschaltbaren Hinweis auf den Versand ohne menschliche Prüfung. Unter freigegebenen Nachrichten steht ein sichtbarer, nicht abschaltbarer Hinweis auf die Unterstützung durch KI; den Wortlaut legt NexAI fest.</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Der Mailagent wird je Kunde in einer eigenen Instanz mit eigener Datenbank und eigenem Datenbestand betrieben.</w:t>
      </w:r>
    </w:p>
    <w:p>
      <w:pPr>
        <w:spacing w:after="80" w:line="276"/>
        <w:ind w:left="360" w:hanging="360"/>
        <w:jc w:val="both"/>
      </w:pPr>
      <w:r>
        <w:rPr>
          <w:rFonts w:ascii="Arial" w:cs="Arial" w:eastAsia="Arial" w:hAnsi="Arial"/>
          <w:color w:val="1A1A1A"/>
          <w:sz w:val="21"/>
          <w:szCs w:val="21"/>
        </w:rPr>
        <w:t xml:space="preserve">(8)	</w:t>
      </w:r>
      <w:r>
        <w:rPr>
          <w:rFonts w:ascii="Arial" w:cs="Arial" w:eastAsia="Arial" w:hAnsi="Arial"/>
          <w:b/>
          <w:bCs/>
          <w:i w:val="false"/>
          <w:iCs w:val="false"/>
          <w:color w:val="1A1A1A"/>
          <w:sz w:val="21"/>
          <w:szCs w:val="21"/>
        </w:rPr>
        <w:t xml:space="preserve">Anbindung der Postfächer.</w:t>
      </w:r>
      <w:r>
        <w:rPr>
          <w:rFonts w:ascii="Arial" w:cs="Arial" w:eastAsia="Arial" w:hAnsi="Arial"/>
          <w:b w:val="false"/>
          <w:bCs w:val="false"/>
          <w:i w:val="false"/>
          <w:iCs w:val="false"/>
          <w:color w:val="1A1A1A"/>
          <w:sz w:val="21"/>
          <w:szCs w:val="21"/>
        </w:rPr>
        <w:t xml:space="preserve"> Die Zugänge zu den Postfächern stellt der Kunde bereit; er benennt mindestens eine Person, die Entwürfe freigibt. Die Anbindung erfolgt über IMAP/SMTP mit Anwendungspasswort oder über eine OAuth-Anmeldung, soweit NexAI sie für den Anbieter des Postfachs bereitstellt. Stellt ein Postfachanbieter den genutzten Anmeldeweg ein, bemüht sich NexAI um einen Ersatzweg; ist keiner verfügbar, kann jede Partei die Leistung für das betroffene Postfach mit einer Frist von einem Monat kündigen. Bei Microsoft 365 setzt die Anbindung über OAuth die Zustimmung eines Administrators des Kunden voraus.</w:t>
      </w:r>
    </w:p>
    <w:p>
      <w:pPr>
        <w:spacing w:after="80" w:line="276"/>
        <w:ind w:left="360" w:hanging="360"/>
        <w:jc w:val="both"/>
      </w:pPr>
      <w:r>
        <w:rPr>
          <w:rFonts w:ascii="Arial" w:cs="Arial" w:eastAsia="Arial" w:hAnsi="Arial"/>
          <w:color w:val="1A1A1A"/>
          <w:sz w:val="21"/>
          <w:szCs w:val="21"/>
        </w:rPr>
        <w:t xml:space="preserve">(9)	</w:t>
      </w:r>
      <w:r>
        <w:rPr>
          <w:rFonts w:ascii="Arial" w:cs="Arial" w:eastAsia="Arial" w:hAnsi="Arial"/>
          <w:b/>
          <w:bCs/>
          <w:i w:val="false"/>
          <w:iCs w:val="false"/>
          <w:color w:val="1A1A1A"/>
          <w:sz w:val="21"/>
          <w:szCs w:val="21"/>
        </w:rPr>
        <w:t xml:space="preserve">KI-Funktionen.</w:t>
      </w:r>
      <w:r>
        <w:rPr>
          <w:rFonts w:ascii="Arial" w:cs="Arial" w:eastAsia="Arial" w:hAnsi="Arial"/>
          <w:b w:val="false"/>
          <w:bCs w:val="false"/>
          <w:i w:val="false"/>
          <w:iCs w:val="false"/>
          <w:color w:val="1A1A1A"/>
          <w:sz w:val="21"/>
          <w:szCs w:val="21"/>
        </w:rPr>
        <w:t xml:space="preserve"> Der Mailagent ist eine Anwendung mit KI-Funktionen. Für Einstufung, Zusammenfassung und Antwortentwürfe gelten die Ziffern 13 und 15 Abs. (3) entsprechend; die Kennzeichnung richtet sich nach Absatz (6).</w:t>
      </w:r>
    </w:p>
    <w:p>
      <w:pPr>
        <w:spacing w:after="80" w:line="276"/>
        <w:ind w:left="360" w:hanging="360"/>
        <w:jc w:val="both"/>
      </w:pPr>
      <w:r>
        <w:rPr>
          <w:rFonts w:ascii="Arial" w:cs="Arial" w:eastAsia="Arial" w:hAnsi="Arial"/>
          <w:color w:val="1A1A1A"/>
          <w:sz w:val="21"/>
          <w:szCs w:val="21"/>
        </w:rPr>
        <w:t xml:space="preserve">(10)	</w:t>
      </w:r>
      <w:r>
        <w:rPr>
          <w:rFonts w:ascii="Arial" w:cs="Arial" w:eastAsia="Arial" w:hAnsi="Arial"/>
          <w:b/>
          <w:bCs/>
          <w:i w:val="false"/>
          <w:iCs w:val="false"/>
          <w:color w:val="1A1A1A"/>
          <w:sz w:val="21"/>
          <w:szCs w:val="21"/>
        </w:rPr>
        <w:t xml:space="preserve">Aufbewahrung und Löschung.</w:t>
      </w:r>
      <w:r>
        <w:rPr>
          <w:rFonts w:ascii="Arial" w:cs="Arial" w:eastAsia="Arial" w:hAnsi="Arial"/>
          <w:b w:val="false"/>
          <w:bCs w:val="false"/>
          <w:i w:val="false"/>
          <w:iCs w:val="false"/>
          <w:color w:val="1A1A1A"/>
          <w:sz w:val="21"/>
          <w:szCs w:val="21"/>
        </w:rPr>
        <w:t xml:space="preserve"> a) Beim Mailagenten ist die Aufbewahrung der gespiegelten Korrespondenz und des Freigabeprotokolls Teil der Leistung; § 14 Abs. (3) Buchst. (a) des Rahmenvertrages gilt nicht. b) Die Aufbewahrungsdauer wird in Ziffer 3.3 des Auftragsformulars je Datenart vereinbart. Ohne Eintrag gelten: Nachrichten mit Einstufung, Kurzfassung, Fristen, Notizen, Zuweisungen und Suchindex 180 Tage ab dem Datum der Nachricht; Anhänge und ihr ausgelesener Text 90 Tage; verworfene Entwürfe 90 Tage; der Wortlaut im Freigabeprotokoll und das Verwaltungsprotokoll 1.095 Tage; die übrigen Angaben einer Zeile des Freigabeprotokolls (Person, Zeitpunkt, Aktion, Prüfsummen) bis zum Ablauf des sechsten vollen Kalenderjahres nach dem Jahr der Freigabe; Tagesübersichten wie Nachrichten; gespeicherte Bankverbindungen bekannter Absender 24 Monate nach ihrer letzten Nennung. c) Der Kunde kann die Fristen in der Anwendung ändern, ausgenommen die Frist für gespeicherte Bankverbindungen, die der Betrugserkennung dient; jede Änderung ist eine dokumentierte Weisung (Anlage B § 4 Abs. (5)). Fristen unter sieben Tagen sind ausgeschlossen. Eine Verlängerung über die Vorgabe wird erst wirksam, wenn der Kunde sie in der Anwendung ausdrücklich bestätigt; für die längere Aufbewahrung muss beim Kunden eine Rechtsgrundlage bestehen. Eine Verkürzung wirkt mit dem nächsten Löschlauf; danach gelöschte Daten lassen sich nicht wiederherstellen. d) NexAI setzt die Fristen durch einen täglichen Löschlauf durch [setzt voraus: Löschlauf in der Instanz des Kunden scharf geschaltet]. In Sicherungskopien bleiben gelöschte Daten bis zu deren turnusmäßigem Überschreiben erhalten (Anlage B, Anhang 3). e) Der Mailagent ist kein Archiv zur Erfüllung gesetzlicher Aufbewahrungspflichten, insbesondere nicht nach § 257 HGB und § 147 AO; empfangene und abgesandte Handels- und Geschäftsbriefe bewahrt der Kunde in seinen eigenen Systemen auf, führendes System ist das Postfach des Kunden. Von jeder Antwort, die der Mailagent versendet, liegt eine unveränderte Kopie im Ordner für gesendete Nachrichten des jeweiligen Postfachs [setzt voraus: Ablage im Gesendet-Ordner in der Instanz des Kunden ausgerollt]. f) Nach Beendigung des Vertrags gilt Anlage B § 12 auch für das Freigabeprotokoll und das Verwaltungsprotokoll; die Fristen nach Buchstabe b verlängern die Speicherung bei NexAI nicht über das Vertragsende hinaus.</w:t>
      </w:r>
    </w:p>
    <w:p>
      <w:pPr>
        <w:spacing w:after="80" w:line="276"/>
        <w:ind w:left="360" w:hanging="360"/>
        <w:jc w:val="both"/>
      </w:pPr>
      <w:r>
        <w:rPr>
          <w:rFonts w:ascii="Arial" w:cs="Arial" w:eastAsia="Arial" w:hAnsi="Arial"/>
          <w:color w:val="1A1A1A"/>
          <w:sz w:val="21"/>
          <w:szCs w:val="21"/>
        </w:rPr>
        <w:t xml:space="preserve">(11)	</w:t>
      </w:r>
      <w:r>
        <w:rPr>
          <w:rFonts w:ascii="Arial" w:cs="Arial" w:eastAsia="Arial" w:hAnsi="Arial"/>
          <w:b/>
          <w:bCs/>
          <w:i w:val="false"/>
          <w:iCs w:val="false"/>
          <w:color w:val="1A1A1A"/>
          <w:sz w:val="21"/>
          <w:szCs w:val="21"/>
        </w:rPr>
        <w:t xml:space="preserve">Zweckbestimmung.</w:t>
      </w:r>
      <w:r>
        <w:rPr>
          <w:rFonts w:ascii="Arial" w:cs="Arial" w:eastAsia="Arial" w:hAnsi="Arial"/>
          <w:b w:val="false"/>
          <w:bCs w:val="false"/>
          <w:i w:val="false"/>
          <w:iCs w:val="false"/>
          <w:color w:val="1A1A1A"/>
          <w:sz w:val="21"/>
          <w:szCs w:val="21"/>
        </w:rPr>
        <w:t xml:space="preserve"> Der Mailagent ist zur Bearbeitung von Geschäftskorrespondenz bestimmt, nicht zur Beobachtung oder Bewertung der Leistung oder des Verhaltens von Beschäftigten. Zuweisungen und Erinnerungen dienen der Vorgangsbearbeitung; personenbezogene Leistungsauswertungen sind nicht vorgesehen. Eine Verwendung zu diesem Zweck ist dem Kunden untersagt (vgl. Art. 25 Abs. 1 Buchst. c KI-VO).</w:t>
      </w:r>
    </w:p>
    <w:p>
      <w:pPr>
        <w:spacing w:after="80" w:line="276"/>
        <w:ind w:left="360" w:hanging="360"/>
        <w:jc w:val="both"/>
      </w:pPr>
      <w:r>
        <w:rPr>
          <w:rFonts w:ascii="Arial" w:cs="Arial" w:eastAsia="Arial" w:hAnsi="Arial"/>
          <w:color w:val="1A1A1A"/>
          <w:sz w:val="21"/>
          <w:szCs w:val="21"/>
        </w:rPr>
        <w:t xml:space="preserve">(12)	</w:t>
      </w:r>
      <w:r>
        <w:rPr>
          <w:rFonts w:ascii="Arial" w:cs="Arial" w:eastAsia="Arial" w:hAnsi="Arial"/>
          <w:b/>
          <w:bCs/>
          <w:i w:val="false"/>
          <w:iCs w:val="false"/>
          <w:color w:val="1A1A1A"/>
          <w:sz w:val="21"/>
          <w:szCs w:val="21"/>
        </w:rPr>
        <w:t xml:space="preserve">Zugänge und Postfächer.</w:t>
      </w:r>
      <w:r>
        <w:rPr>
          <w:rFonts w:ascii="Arial" w:cs="Arial" w:eastAsia="Arial" w:hAnsi="Arial"/>
          <w:b w:val="false"/>
          <w:bCs w:val="false"/>
          <w:i w:val="false"/>
          <w:iCs w:val="false"/>
          <w:color w:val="1A1A1A"/>
          <w:sz w:val="21"/>
          <w:szCs w:val="21"/>
        </w:rPr>
        <w:t xml:space="preserve"> Im monatlichen Beitrag sind drei Zugänge und drei Postfächer enthalten. Ein Zugang ist die Möglichkeit einer natürlichen Person, sich an der Anwendung anzumelden; er ist persönlich und nicht zur gemeinsamen Nutzung durch mehrere Personen bestimmt. Ein Postfach ist eine E-Mail-Adresse, deren Nachrichten die Anwendung abruft. Die Zahl der Zugänge und der Postfächer wird in der Anwendung hinterlegt und dort durchgesetzt. Bereits eingerichtete Zugänge und angebundene Postfächer bleiben von einer späteren Änderung der Zahl unberührt.</w:t>
      </w:r>
    </w:p>
    <w:p>
      <w:pPr>
        <w:spacing w:after="80" w:line="276"/>
        <w:ind w:left="360" w:hanging="360"/>
        <w:jc w:val="both"/>
      </w:pPr>
      <w:r>
        <w:rPr>
          <w:rFonts w:ascii="Arial" w:cs="Arial" w:eastAsia="Arial" w:hAnsi="Arial"/>
          <w:color w:val="1A1A1A"/>
          <w:sz w:val="21"/>
          <w:szCs w:val="21"/>
        </w:rPr>
        <w:t xml:space="preserve">(13)	</w:t>
      </w:r>
      <w:r>
        <w:rPr>
          <w:rFonts w:ascii="Arial" w:cs="Arial" w:eastAsia="Arial" w:hAnsi="Arial"/>
          <w:b/>
          <w:bCs/>
          <w:i w:val="false"/>
          <w:iCs w:val="false"/>
          <w:color w:val="1A1A1A"/>
          <w:sz w:val="21"/>
          <w:szCs w:val="21"/>
        </w:rPr>
        <w:t xml:space="preserve">Buchung in der Anwendung.</w:t>
      </w:r>
      <w:r>
        <w:rPr>
          <w:rFonts w:ascii="Arial" w:cs="Arial" w:eastAsia="Arial" w:hAnsi="Arial"/>
          <w:b w:val="false"/>
          <w:bCs w:val="false"/>
          <w:i w:val="false"/>
          <w:iCs w:val="false"/>
          <w:color w:val="1A1A1A"/>
          <w:sz w:val="21"/>
          <w:szCs w:val="21"/>
        </w:rPr>
        <w:t xml:space="preserve"> Eine Person mit der Rolle Verwaltung kann in der Anwendung einen weiteren Zugang oder ein weiteres Postfach beauftragen, jeweils einzeln und bis zu einer Gesamtzahl von zehn. Die Anwendung nennt vor der Beauftragung den Preis nach dem Auftragsformular; die Beauftragung erfolgt durch ausdrückliche Bestätigung (Ziffer 3.3 des Auftragsformulars). Der weitere Zugang oder das weitere Postfach steht sofort zur Verfügung; die Vergütung ist ab dem Tag der Beauftragung geschuldet, für den laufenden Monat anteilig nach Tagen. Die Anwendung hält Person, Zeitpunkt und Preis jeder Beauftragung fest. Der Kunde stellt sicher, dass die Rolle Verwaltung nur Personen erhalten, die ihn insoweit vertreten dürfen. Darüber hinausgehende Mengen und abweichende Konditionen werden gesondert vereinbart.</w:t>
      </w:r>
    </w:p>
    <w:p>
      <w:pPr>
        <w:spacing w:after="80" w:line="276"/>
        <w:ind w:left="360" w:hanging="360"/>
        <w:jc w:val="both"/>
      </w:pPr>
      <w:r>
        <w:rPr>
          <w:rFonts w:ascii="Arial" w:cs="Arial" w:eastAsia="Arial" w:hAnsi="Arial"/>
          <w:color w:val="1A1A1A"/>
          <w:sz w:val="21"/>
          <w:szCs w:val="21"/>
        </w:rPr>
        <w:t xml:space="preserve">(14)	</w:t>
      </w:r>
      <w:r>
        <w:rPr>
          <w:rFonts w:ascii="Arial" w:cs="Arial" w:eastAsia="Arial" w:hAnsi="Arial"/>
          <w:b/>
          <w:bCs/>
          <w:i w:val="false"/>
          <w:iCs w:val="false"/>
          <w:color w:val="1A1A1A"/>
          <w:sz w:val="21"/>
          <w:szCs w:val="21"/>
        </w:rPr>
        <w:t xml:space="preserve">Rückgabe in der Anwendung.</w:t>
      </w:r>
      <w:r>
        <w:rPr>
          <w:rFonts w:ascii="Arial" w:cs="Arial" w:eastAsia="Arial" w:hAnsi="Arial"/>
          <w:b w:val="false"/>
          <w:bCs w:val="false"/>
          <w:i w:val="false"/>
          <w:iCs w:val="false"/>
          <w:color w:val="1A1A1A"/>
          <w:sz w:val="21"/>
          <w:szCs w:val="21"/>
        </w:rPr>
        <w:t xml:space="preserve"> Auf demselben Weg kann die Verwaltung einen zusätzlich beauftragten Zugang oder ein zusätzlich beauftragtes Postfach zurückgeben, sofern es nicht belegt ist; die drei im Beitrag enthaltenen sind ausgenommen. Mit der Rückgabe entfällt der Platz sofort; die Vergütung für den laufenden Monat bleibt geschuldet und entfällt ab dem folgenden Monat. Bei jährlicher Zahlweise wird ein weiterer Zugang oder ein weiteres Postfach für zwölf Monate ab dem Tag der Beauftragung beauftragt und zum Preis von zehn Monatsbeträgen im Voraus berechnet; eine Rückgabe innerhalb dieser zwölf Monate lässt den Platz sofort entfallen, die Vergütung bleibt bis zum Ende der zwölf Monate geschuldet und wird nicht erstattet.</w:t>
      </w:r>
    </w:p>
    <w:p>
      <w:pPr>
        <w:spacing w:after="80" w:line="276"/>
        <w:ind w:left="360" w:hanging="360"/>
        <w:jc w:val="both"/>
      </w:pPr>
      <w:r>
        <w:rPr>
          <w:rFonts w:ascii="Arial" w:cs="Arial" w:eastAsia="Arial" w:hAnsi="Arial"/>
          <w:color w:val="1A1A1A"/>
          <w:sz w:val="21"/>
          <w:szCs w:val="21"/>
        </w:rPr>
        <w:t xml:space="preserve">(15)	</w:t>
      </w:r>
      <w:r>
        <w:rPr>
          <w:rFonts w:ascii="Arial" w:cs="Arial" w:eastAsia="Arial" w:hAnsi="Arial"/>
          <w:b/>
          <w:bCs/>
          <w:i w:val="false"/>
          <w:iCs w:val="false"/>
          <w:color w:val="1A1A1A"/>
          <w:sz w:val="21"/>
          <w:szCs w:val="21"/>
        </w:rPr>
        <w:t xml:space="preserve">Rechnungsadresse und Rechnungsstellung.</w:t>
      </w:r>
      <w:r>
        <w:rPr>
          <w:rFonts w:ascii="Arial" w:cs="Arial" w:eastAsia="Arial" w:hAnsi="Arial"/>
          <w:b w:val="false"/>
          <w:bCs w:val="false"/>
          <w:i w:val="false"/>
          <w:iCs w:val="false"/>
          <w:color w:val="1A1A1A"/>
          <w:sz w:val="21"/>
          <w:szCs w:val="21"/>
        </w:rPr>
        <w:t xml:space="preserve"> Der Kunde hinterlegt in der Anwendung die Adresse, an die NexAI Rechnungen nach § 7 Abs. (8) des Rahmenvertrages übermittelt, und hält sie aktuell; ohne hinterlegte Adresse ist die Einrichtung nicht abgeschlossen. Die monatliche Vergütung wird zu Beginn eines jeden Monats im Voraus in Rechnung gestellt; anteilige Beträge für im Vormonat beauftragte Plätze werden mit dieser Rechnung abgerechnet. Abweichend von § 7 Abs. (7) des Rahmenvertrages erfolgt die Zahlung per Überweisung, bis NexAI für den Mailagenten den Lastschrifteinzug anbietet.</w:t>
      </w:r>
    </w:p>
    <w:p>
      <w:pPr>
        <w:spacing w:after="80" w:line="276"/>
        <w:ind w:left="360" w:hanging="360"/>
        <w:jc w:val="both"/>
      </w:pPr>
      <w:r>
        <w:rPr>
          <w:rFonts w:ascii="Arial" w:cs="Arial" w:eastAsia="Arial" w:hAnsi="Arial"/>
          <w:color w:val="1A1A1A"/>
          <w:sz w:val="21"/>
          <w:szCs w:val="21"/>
        </w:rPr>
        <w:t xml:space="preserve">(16)	</w:t>
      </w:r>
      <w:r>
        <w:rPr>
          <w:rFonts w:ascii="Arial" w:cs="Arial" w:eastAsia="Arial" w:hAnsi="Arial"/>
          <w:b/>
          <w:bCs/>
          <w:i w:val="false"/>
          <w:iCs w:val="false"/>
          <w:color w:val="1A1A1A"/>
          <w:sz w:val="21"/>
          <w:szCs w:val="21"/>
        </w:rPr>
        <w:t xml:space="preserve">Selbstverwaltung.</w:t>
      </w:r>
      <w:r>
        <w:rPr>
          <w:rFonts w:ascii="Arial" w:cs="Arial" w:eastAsia="Arial" w:hAnsi="Arial"/>
          <w:b w:val="false"/>
          <w:bCs w:val="false"/>
          <w:i w:val="false"/>
          <w:iCs w:val="false"/>
          <w:color w:val="1A1A1A"/>
          <w:sz w:val="21"/>
          <w:szCs w:val="21"/>
        </w:rPr>
        <w:t xml:space="preserve"> Der Kunde verwaltet seine Zugänge selbst: Er legt Personen an, entzieht ihnen den Zugang und bestimmt, welche Postfächer sie sehen. Passwörter setzt jede Person selbst; sie werden nur als Prüfwert gespeichert und sind für NexAI nicht lesbar. Personen mit der Rolle Verwaltung müssen einen zweiten Faktor einrichten; für alle übrigen Personen steht er zur Verfügung. NexAI legt den ersten Zugang der Verwaltung an und greift auf Zugänge und Inhalte nur auf Weisung des Kunden oder zur Störungsbeseitigung zu; NexAI dokumentiert jeden solchen Zugriff mit Anlass.</w:t>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(entfallen)</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Automatisierungen</w:t>
      </w:r>
    </w:p>
    <w:p>
      <w:pPr>
        <w:spacing w:after="120" w:line="276"/>
        <w:jc w:val="both"/>
      </w:pPr>
      <w:r>
        <w:rPr>
          <w:rFonts w:ascii="Arial" w:cs="Arial" w:eastAsia="Arial" w:hAnsi="Arial"/>
          <w:b w:val="false"/>
          <w:bCs w:val="false"/>
          <w:i w:val="false"/>
          <w:iCs w:val="false"/>
          <w:color w:val="1A1A1A"/>
          <w:sz w:val="21"/>
          <w:szCs w:val="21"/>
        </w:rPr>
        <w:t xml:space="preserve">NexAI richtet Automatisierungen (Workflows) ein und betreibt diese, um wiederkehrende Prozesse des Kunden zu verbinden und zu automatisieren.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Anbindung an CRM-Systeme, Google Workspace oder Microsoft 365 im Rahmen der verfügbaren Schnittstellen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Anbindung an Kalender-, E-Mail- und Tabellensysteme (z. B. Google Sheets, Microsoft Excel)</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Anbindung weiterer Systeme über verfügbare Programmierschnittstellen (APIs) und Webhooks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Automatisierte Benachrichtigungen (z. B. per E-Mail oder Messaging) bei definierten Ereignissen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Automatisierte Erfassung, Verteilung und Zuordnung von Leads (Lead-Routing)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Automatisierung wiederkehrender Prozessschritte nach vereinbarter Ablauflogik</w:t>
      </w:r>
    </w:p>
    <w:p>
      <w:pPr>
        <w:spacing w:after="140" w:before="80"/>
      </w:pPr>
      <w:r>
        <w:rPr>
          <w:rFonts w:ascii="Arial" w:cs="Arial" w:eastAsia="Arial" w:hAnsi="Arial"/>
          <w:b w:val="false"/>
          <w:bCs w:val="false"/>
          <w:i/>
          <w:iCs/>
          <w:color w:val="6B7280"/>
          <w:sz w:val="18"/>
          <w:szCs w:val="18"/>
        </w:rPr>
        <w:t xml:space="preserve">Umfang und Verfügbarkeit der Anbindungen hängen von den Schnittstellen und Nutzungsbedingungen der jeweiligen Drittsysteme (Subunternehmer) ab und stehen insoweit unter dem Vorbehalt deren technischer und rechtlicher Verfügbarkeit. Die erforderlichen Zugänge und Berechtigungen zu kundeneigenen Systemen stellt der Kunde bereit.</w:t>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Individuelle KI-Agenten</w:t>
      </w:r>
    </w:p>
    <w:p>
      <w:pPr>
        <w:spacing w:after="120" w:line="276"/>
        <w:jc w:val="both"/>
      </w:pPr>
      <w:r>
        <w:rPr>
          <w:rFonts w:ascii="Arial" w:cs="Arial" w:eastAsia="Arial" w:hAnsi="Arial"/>
          <w:b w:val="false"/>
          <w:bCs w:val="false"/>
          <w:i w:val="false"/>
          <w:iCs w:val="false"/>
          <w:color w:val="1A1A1A"/>
          <w:sz w:val="21"/>
          <w:szCs w:val="21"/>
        </w:rPr>
        <w:t xml:space="preserve">Sofern im Auftragsformular beauftragt, entwickelt und betreibt NexAI individuelle, projektspezifisch zugeschnittene Agenten. Der konkrete Leistungsumfang, die Ziele, die einzubindenden Datenquellen und Systeme sowie etwaige Abnahmekriterien werden im Auftragsformular oder in einer gesonderten Leistungsbeschreibung je Projekt festgelegt und sind als solche Bestandteil dieser Anlage A. Die vorstehenden Regelungen dieser Anlage (insbesondere zu Transparenz, Aufzeichnungen und Guardrails, Ziffern 11 bis 13) gelten für individuelle Agenten entsprechend.</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9.  </w:t>
      </w:r>
      <w:r>
        <w:rPr>
          <w:rFonts w:ascii="Arial" w:cs="Arial" w:eastAsia="Arial" w:hAnsi="Arial"/>
          <w:b/>
          <w:bCs/>
          <w:i w:val="false"/>
          <w:iCs w:val="false"/>
          <w:color w:val="0B0B0F"/>
          <w:sz w:val="24"/>
          <w:szCs w:val="24"/>
        </w:rPr>
        <w:t xml:space="preserve">(entfallen)</w:t>
      </w:r>
    </w:p>
    <w:p>
      <w:pPr>
        <w:pStyle w:val="Heading1"/>
        <w:keepNext/>
        <w:spacing w:after="100" w:before="260"/>
      </w:pPr>
      <w:r>
        <w:rPr>
          <w:rFonts w:ascii="Arial" w:cs="Arial" w:eastAsia="Arial" w:hAnsi="Arial"/>
          <w:b/>
          <w:bCs/>
          <w:color w:val="1F3A8A"/>
          <w:sz w:val="24"/>
          <w:szCs w:val="24"/>
        </w:rPr>
        <w:t xml:space="preserve">10.  </w:t>
      </w:r>
      <w:r>
        <w:rPr>
          <w:rFonts w:ascii="Arial" w:cs="Arial" w:eastAsia="Arial" w:hAnsi="Arial"/>
          <w:b/>
          <w:bCs/>
          <w:i w:val="false"/>
          <w:iCs w:val="false"/>
          <w:color w:val="0B0B0F"/>
          <w:sz w:val="24"/>
          <w:szCs w:val="24"/>
        </w:rPr>
        <w:t xml:space="preserve">Ersteinrichtung</w:t>
      </w:r>
    </w:p>
    <w:p>
      <w:pPr>
        <w:spacing w:after="120" w:line="276"/>
        <w:jc w:val="both"/>
      </w:pPr>
      <w:r>
        <w:rPr>
          <w:rFonts w:ascii="Arial" w:cs="Arial" w:eastAsia="Arial" w:hAnsi="Arial"/>
          <w:b w:val="false"/>
          <w:bCs w:val="false"/>
          <w:i w:val="false"/>
          <w:iCs w:val="false"/>
          <w:color w:val="1A1A1A"/>
          <w:sz w:val="21"/>
          <w:szCs w:val="21"/>
        </w:rPr>
        <w:t xml:space="preserve">Die Ersteinrichtung der Agenten und Anwendungen ist eine </w:t>
      </w:r>
      <w:r>
        <w:rPr>
          <w:rFonts w:ascii="Arial" w:cs="Arial" w:eastAsia="Arial" w:hAnsi="Arial"/>
          <w:b/>
          <w:bCs/>
          <w:i w:val="false"/>
          <w:iCs w:val="false"/>
          <w:color w:val="1A1A1A"/>
          <w:sz w:val="21"/>
          <w:szCs w:val="21"/>
        </w:rPr>
        <w:t xml:space="preserve">Projektleistung</w:t>
      </w:r>
      <w:r>
        <w:rPr>
          <w:rFonts w:ascii="Arial" w:cs="Arial" w:eastAsia="Arial" w:hAnsi="Arial"/>
          <w:b w:val="false"/>
          <w:bCs w:val="false"/>
          <w:i w:val="false"/>
          <w:iCs w:val="false"/>
          <w:color w:val="1A1A1A"/>
          <w:sz w:val="21"/>
          <w:szCs w:val="21"/>
        </w:rPr>
        <w:t xml:space="preserve"> (Werkleistung) und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Grundkonfiguration der beauftragten Agenten (Persona, Sprache(n), Dialoglogik, Rahmenparameter)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Einrichtung der beauftragten Anwendungen (Mandant, Stammdaten, Benutzerkonten, Rollen und Rechte)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Aufbau der Wissensbasis auf Grundlage der vom Kunden bereitgestellten Informationen und Unterlagen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Einrichtung der vereinbarten Workflows und Automatisierungen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Anbindung an die vereinbarten Systeme und Schnittstellen des Kunden (z. B. Kalender, CRM, Telefonie)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Funktionstests und Feinjustierung vor Inbetriebnahme</w:t>
      </w:r>
    </w:p>
    <w:p>
      <w:pPr>
        <w:spacing w:after="120" w:line="276"/>
        <w:jc w:val="both"/>
      </w:pPr>
      <w:r>
        <w:rPr>
          <w:rFonts w:ascii="Arial" w:cs="Arial" w:eastAsia="Arial" w:hAnsi="Arial"/>
          <w:b w:val="false"/>
          <w:bCs w:val="false"/>
          <w:i w:val="false"/>
          <w:iCs w:val="false"/>
          <w:color w:val="1A1A1A"/>
          <w:sz w:val="21"/>
          <w:szCs w:val="21"/>
        </w:rPr>
        <w:t xml:space="preserve">Eine gesonderte </w:t>
      </w:r>
      <w:r>
        <w:rPr>
          <w:rFonts w:ascii="Arial" w:cs="Arial" w:eastAsia="Arial" w:hAnsi="Arial"/>
          <w:b/>
          <w:bCs/>
          <w:i w:val="false"/>
          <w:iCs w:val="false"/>
          <w:color w:val="1A1A1A"/>
          <w:sz w:val="21"/>
          <w:szCs w:val="21"/>
        </w:rPr>
        <w:t xml:space="preserve">Einrichtungsgebühr</w:t>
      </w:r>
      <w:r>
        <w:rPr>
          <w:rFonts w:ascii="Arial" w:cs="Arial" w:eastAsia="Arial" w:hAnsi="Arial"/>
          <w:b w:val="false"/>
          <w:bCs w:val="false"/>
          <w:i w:val="false"/>
          <w:iCs w:val="false"/>
          <w:color w:val="1A1A1A"/>
          <w:sz w:val="21"/>
          <w:szCs w:val="21"/>
        </w:rPr>
        <w:t xml:space="preserve"> fällt nur an, soweit sie im Auftragsformular vereinbart ist; andernfalls ist die Ersteinrichtung mit dem vereinbarten monatlichen oder jährlichen Beitrag abgegolten.</w:t>
      </w:r>
    </w:p>
    <w:p>
      <w:pPr>
        <w:pStyle w:val="Heading1"/>
        <w:keepNext/>
        <w:spacing w:after="100" w:before="260"/>
      </w:pPr>
      <w:r>
        <w:rPr>
          <w:rFonts w:ascii="Arial" w:cs="Arial" w:eastAsia="Arial" w:hAnsi="Arial"/>
          <w:b/>
          <w:bCs/>
          <w:color w:val="1F3A8A"/>
          <w:sz w:val="24"/>
          <w:szCs w:val="24"/>
        </w:rPr>
        <w:t xml:space="preserve">11.  </w:t>
      </w:r>
      <w:r>
        <w:rPr>
          <w:rFonts w:ascii="Arial" w:cs="Arial" w:eastAsia="Arial" w:hAnsi="Arial"/>
          <w:b/>
          <w:bCs/>
          <w:i w:val="false"/>
          <w:iCs w:val="false"/>
          <w:color w:val="0B0B0F"/>
          <w:sz w:val="24"/>
          <w:szCs w:val="24"/>
        </w:rPr>
        <w:t xml:space="preserve">KI-Kennzeichnung und Pflicht-Ansage (Transparenz)</w:t>
      </w:r>
    </w:p>
    <w:p>
      <w:pPr>
        <w:spacing w:after="120" w:line="276"/>
        <w:jc w:val="both"/>
      </w:pPr>
      <w:r>
        <w:rPr>
          <w:rFonts w:ascii="Arial" w:cs="Arial" w:eastAsia="Arial" w:hAnsi="Arial"/>
          <w:b w:val="false"/>
          <w:bCs w:val="false"/>
          <w:i w:val="false"/>
          <w:iCs w:val="false"/>
          <w:color w:val="1A1A1A"/>
          <w:sz w:val="21"/>
          <w:szCs w:val="21"/>
        </w:rPr>
        <w:t xml:space="preserve">Die Kennzeichnung der Agenten als künstliche Intelligenz ist gemäß </w:t>
      </w:r>
      <w:r>
        <w:rPr>
          <w:rFonts w:ascii="Arial" w:cs="Arial" w:eastAsia="Arial" w:hAnsi="Arial"/>
          <w:b/>
          <w:bCs/>
          <w:i w:val="false"/>
          <w:iCs w:val="false"/>
          <w:color w:val="1A1A1A"/>
          <w:sz w:val="21"/>
          <w:szCs w:val="21"/>
        </w:rPr>
        <w:t xml:space="preserve">Art. 50 der Verordnung (EU) 2024/1689 (KI-VO / AI Act)</w:t>
      </w:r>
      <w:r>
        <w:rPr>
          <w:rFonts w:ascii="Arial" w:cs="Arial" w:eastAsia="Arial" w:hAnsi="Arial"/>
          <w:b w:val="false"/>
          <w:bCs w:val="false"/>
          <w:i w:val="false"/>
          <w:iCs w:val="false"/>
          <w:color w:val="1A1A1A"/>
          <w:sz w:val="21"/>
          <w:szCs w:val="21"/>
        </w:rPr>
        <w:t xml:space="preserve"> ein </w:t>
      </w:r>
      <w:r>
        <w:rPr>
          <w:rFonts w:ascii="Arial" w:cs="Arial" w:eastAsia="Arial" w:hAnsi="Arial"/>
          <w:b/>
          <w:bCs/>
          <w:i w:val="false"/>
          <w:iCs w:val="false"/>
          <w:color w:val="1A1A1A"/>
          <w:sz w:val="21"/>
          <w:szCs w:val="21"/>
        </w:rPr>
        <w:t xml:space="preserve">verbindlicher, nicht abschaltbarer Bestandteil</w:t>
      </w:r>
      <w:r>
        <w:rPr>
          <w:rFonts w:ascii="Arial" w:cs="Arial" w:eastAsia="Arial" w:hAnsi="Arial"/>
          <w:b w:val="false"/>
          <w:bCs w:val="false"/>
          <w:i w:val="false"/>
          <w:iCs w:val="false"/>
          <w:color w:val="1A1A1A"/>
          <w:sz w:val="21"/>
          <w:szCs w:val="21"/>
        </w:rPr>
        <w:t xml:space="preserve"> der Leistung. Jeder Endnutzer wird zu Beginn der Interaktion darüber informiert, dass er mit einem KI-System interagiert.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Beim </w:t>
      </w:r>
      <w:r>
        <w:rPr>
          <w:rFonts w:ascii="Arial" w:cs="Arial" w:eastAsia="Arial" w:hAnsi="Arial"/>
          <w:b/>
          <w:bCs/>
          <w:i w:val="false"/>
          <w:iCs w:val="false"/>
          <w:color w:val="1A1A1A"/>
          <w:sz w:val="21"/>
          <w:szCs w:val="21"/>
        </w:rPr>
        <w:t xml:space="preserve">Voice Agent</w:t>
      </w:r>
      <w:r>
        <w:rPr>
          <w:rFonts w:ascii="Arial" w:cs="Arial" w:eastAsia="Arial" w:hAnsi="Arial"/>
          <w:b w:val="false"/>
          <w:bCs w:val="false"/>
          <w:i w:val="false"/>
          <w:iCs w:val="false"/>
          <w:color w:val="1A1A1A"/>
          <w:sz w:val="21"/>
          <w:szCs w:val="21"/>
        </w:rPr>
        <w:t xml:space="preserve"> erfolgt zu Beginn jedes Gesprächs eine Pflicht-Ansage. Der Standard-Wortlaut lautet – anpassbar an den Kundennamen, inhaltlich jedoch verbindlich: </w:t>
      </w:r>
      <w:r>
        <w:rPr>
          <w:rFonts w:ascii="Arial" w:cs="Arial" w:eastAsia="Arial" w:hAnsi="Arial"/>
          <w:b/>
          <w:bCs/>
          <w:i w:val="false"/>
          <w:iCs w:val="false"/>
          <w:color w:val="1A1A1A"/>
          <w:sz w:val="21"/>
          <w:szCs w:val="21"/>
        </w:rPr>
        <w:t xml:space="preserve">"Guten Tag, Sie sprechen mit einem KI-Assistenten der [Firma des Kunden]. Wie kann ich Ihnen helfen?"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Beim </w:t>
      </w:r>
      <w:r>
        <w:rPr>
          <w:rFonts w:ascii="Arial" w:cs="Arial" w:eastAsia="Arial" w:hAnsi="Arial"/>
          <w:b/>
          <w:bCs/>
          <w:i w:val="false"/>
          <w:iCs w:val="false"/>
          <w:color w:val="1A1A1A"/>
          <w:sz w:val="21"/>
          <w:szCs w:val="21"/>
        </w:rPr>
        <w:t xml:space="preserve">Chat Agent</w:t>
      </w:r>
      <w:r>
        <w:rPr>
          <w:rFonts w:ascii="Arial" w:cs="Arial" w:eastAsia="Arial" w:hAnsi="Arial"/>
          <w:b w:val="false"/>
          <w:bCs w:val="false"/>
          <w:i w:val="false"/>
          <w:iCs w:val="false"/>
          <w:color w:val="1A1A1A"/>
          <w:sz w:val="21"/>
          <w:szCs w:val="21"/>
        </w:rPr>
        <w:t xml:space="preserve"> wird der KI-Hinweis in der Benutzeroberfläche deutlich sichtbar ausgewiesen (z. B. "KI-Assistent").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Ist die Tonaufzeichnung eines Gesprächs im Ausnahmefall auf dokumentierte Weisung des Kunden aktiviert (Ziffer 12), wird die Ansage um einen </w:t>
      </w:r>
      <w:r>
        <w:rPr>
          <w:rFonts w:ascii="Arial" w:cs="Arial" w:eastAsia="Arial" w:hAnsi="Arial"/>
          <w:b/>
          <w:bCs/>
          <w:i w:val="false"/>
          <w:iCs w:val="false"/>
          <w:color w:val="1A1A1A"/>
          <w:sz w:val="21"/>
          <w:szCs w:val="21"/>
        </w:rPr>
        <w:t xml:space="preserve">Aufzeichnungshinweis</w:t>
      </w:r>
      <w:r>
        <w:rPr>
          <w:rFonts w:ascii="Arial" w:cs="Arial" w:eastAsia="Arial" w:hAnsi="Arial"/>
          <w:b w:val="false"/>
          <w:bCs w:val="false"/>
          <w:i w:val="false"/>
          <w:iCs w:val="false"/>
          <w:color w:val="1A1A1A"/>
          <w:sz w:val="21"/>
          <w:szCs w:val="21"/>
        </w:rPr>
        <w:t xml:space="preserve"> ergänzt, z. B.: </w:t>
      </w:r>
      <w:r>
        <w:rPr>
          <w:rFonts w:ascii="Arial" w:cs="Arial" w:eastAsia="Arial" w:hAnsi="Arial"/>
          <w:b/>
          <w:bCs/>
          <w:i w:val="false"/>
          <w:iCs w:val="false"/>
          <w:color w:val="1A1A1A"/>
          <w:sz w:val="21"/>
          <w:szCs w:val="21"/>
        </w:rPr>
        <w:t xml:space="preserve">"Dieses Gespräch wird zu Qualitätszwecken aufgezeichnet. Wenn Sie damit nicht einverstanden sind, teilen Sie mir dies bitte mit."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Ansage bzw. der Hinweis kann durch den Kunden nicht deaktiviert werden. Weisungen, die auf eine Entfernung oder Verschleierung der KI-Kennzeichnung gerichtet sind, wird NexAI nicht befolgen; NexAI ist berechtigt, den Betrieb eines Agenten auszusetzen, solange eine solche Weisung aufrechterhalten wird.</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Inhalte, die die Agenten und die KI-Funktionen der Anwendungen erzeugen, kennzeichnet NexAI zusätzlich maschinenlesbar als künstlich erzeugt (Art. 50 Abs. 2 KI-VO), soweit dies nach dem Stand der Technik für das jeweilige Ausgabeformat möglich ist, insbesondere durch Kopfzeilen bei E-Mails, ein Kennzeichen im Chat-Fenster und ein Kennzeichen des Sprachdienstes bei Audio [setzt voraus für Chat und Sprachausgabe: Umsetzung bis zum 2. Dezember 2026, Art. 111 Abs. 4 KI-VO]. Der Kunde entfernt diese Kennzeichnung nicht.</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Für den NexAI Mailagent gilt Ziffer 5.4 Abs. (6).</w:t>
      </w:r>
    </w:p>
    <w:p>
      <w:pPr>
        <w:pStyle w:val="Heading1"/>
        <w:keepNext/>
        <w:spacing w:after="100" w:before="260"/>
      </w:pPr>
      <w:r>
        <w:rPr>
          <w:rFonts w:ascii="Arial" w:cs="Arial" w:eastAsia="Arial" w:hAnsi="Arial"/>
          <w:b/>
          <w:bCs/>
          <w:color w:val="1F3A8A"/>
          <w:sz w:val="24"/>
          <w:szCs w:val="24"/>
        </w:rPr>
        <w:t xml:space="preserve">12.  </w:t>
      </w:r>
      <w:r>
        <w:rPr>
          <w:rFonts w:ascii="Arial" w:cs="Arial" w:eastAsia="Arial" w:hAnsi="Arial"/>
          <w:b/>
          <w:bCs/>
          <w:i w:val="false"/>
          <w:iCs w:val="false"/>
          <w:color w:val="0B0B0F"/>
          <w:sz w:val="24"/>
          <w:szCs w:val="24"/>
        </w:rPr>
        <w:t xml:space="preserve">Aufzeichnungen und Transkripte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Eine </w:t>
      </w:r>
      <w:r>
        <w:rPr>
          <w:rFonts w:ascii="Arial" w:cs="Arial" w:eastAsia="Arial" w:hAnsi="Arial"/>
          <w:b/>
          <w:bCs/>
          <w:i w:val="false"/>
          <w:iCs w:val="false"/>
          <w:color w:val="1A1A1A"/>
          <w:sz w:val="21"/>
          <w:szCs w:val="21"/>
        </w:rPr>
        <w:t xml:space="preserve">Tonaufzeichnung</w:t>
      </w:r>
      <w:r>
        <w:rPr>
          <w:rFonts w:ascii="Arial" w:cs="Arial" w:eastAsia="Arial" w:hAnsi="Arial"/>
          <w:b w:val="false"/>
          <w:bCs w:val="false"/>
          <w:i w:val="false"/>
          <w:iCs w:val="false"/>
          <w:color w:val="1A1A1A"/>
          <w:sz w:val="21"/>
          <w:szCs w:val="21"/>
        </w:rPr>
        <w:t xml:space="preserve"> von Gesprächen ist </w:t>
      </w:r>
      <w:r>
        <w:rPr>
          <w:rFonts w:ascii="Arial" w:cs="Arial" w:eastAsia="Arial" w:hAnsi="Arial"/>
          <w:b/>
          <w:bCs/>
          <w:i w:val="false"/>
          <w:iCs w:val="false"/>
          <w:color w:val="1A1A1A"/>
          <w:sz w:val="21"/>
          <w:szCs w:val="21"/>
        </w:rPr>
        <w:t xml:space="preserve">standardmäßig deaktiviert</w:t>
      </w:r>
      <w:r>
        <w:rPr>
          <w:rFonts w:ascii="Arial" w:cs="Arial" w:eastAsia="Arial" w:hAnsi="Arial"/>
          <w:b w:val="false"/>
          <w:bCs w:val="false"/>
          <w:i w:val="false"/>
          <w:iCs w:val="false"/>
          <w:color w:val="1A1A1A"/>
          <w:sz w:val="21"/>
          <w:szCs w:val="21"/>
        </w:rPr>
        <w:t xml:space="preserve">. Die Sprache wird während des Gesprächs zur Verarbeitung in Text umgewandelt; ein Wortprotokoll speichert NexAI nicht dauerhaft, es sei denn, der Kunde hat die Übergabe eines Gesprächsprotokolls in eine Anwendung beauftragt. Der Plattformanbieter des Voice Agent bewahrt ein technisches Gesprächsprotokoll für bis zu [14] Tage auf (Anlage B, Anhang 3). Eine Tonaufzeichnung oder eine darüber hinausgehende Speicherung des Wortprotokolls erfolgt nur auf </w:t>
      </w:r>
      <w:r>
        <w:rPr>
          <w:rFonts w:ascii="Arial" w:cs="Arial" w:eastAsia="Arial" w:hAnsi="Arial"/>
          <w:b/>
          <w:bCs/>
          <w:i w:val="false"/>
          <w:iCs w:val="false"/>
          <w:color w:val="1A1A1A"/>
          <w:sz w:val="21"/>
          <w:szCs w:val="21"/>
        </w:rPr>
        <w:t xml:space="preserve">dokumentierte Weisung</w:t>
      </w:r>
      <w:r>
        <w:rPr>
          <w:rFonts w:ascii="Arial" w:cs="Arial" w:eastAsia="Arial" w:hAnsi="Arial"/>
          <w:b w:val="false"/>
          <w:bCs w:val="false"/>
          <w:i w:val="false"/>
          <w:iCs w:val="false"/>
          <w:color w:val="1A1A1A"/>
          <w:sz w:val="21"/>
          <w:szCs w:val="21"/>
        </w:rPr>
        <w:t xml:space="preserve"> des Kunden (Betreiber im Sinne der KI-VO) und nur, soweit der Kunde die datenschutz- und sonstige rechtliche Zulässigkeit sicherstellt.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Ist die Tonaufzeichnung oder die Speicherung des Wortprotokolls aktiviert, erfolgt stets der Aufzeichnungshinweis nach Ziffer 11 Absatz (3). Die Aufbewahrung der Aufzeichnungen und Wortprotokolle beträgt höchstens sechs (6) Monate ab Erstellung, soweit der Kunde keine kürzere Frist bestimmt; danach werden sie gelöscht.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Eine </w:t>
      </w:r>
      <w:r>
        <w:rPr>
          <w:rFonts w:ascii="Arial" w:cs="Arial" w:eastAsia="Arial" w:hAnsi="Arial"/>
          <w:b/>
          <w:bCs/>
          <w:i w:val="false"/>
          <w:iCs w:val="false"/>
          <w:color w:val="1A1A1A"/>
          <w:sz w:val="21"/>
          <w:szCs w:val="21"/>
        </w:rPr>
        <w:t xml:space="preserve">Speicherung in privaten Endnutzer-Accounts</w:t>
      </w:r>
      <w:r>
        <w:rPr>
          <w:rFonts w:ascii="Arial" w:cs="Arial" w:eastAsia="Arial" w:hAnsi="Arial"/>
          <w:b w:val="false"/>
          <w:bCs w:val="false"/>
          <w:i w:val="false"/>
          <w:iCs w:val="false"/>
          <w:color w:val="1A1A1A"/>
          <w:sz w:val="21"/>
          <w:szCs w:val="21"/>
        </w:rPr>
        <w:t xml:space="preserve"> findet nicht statt. Die Verarbeitung erfolgt im Rahmen der von NexAI eingesetzten Betriebsmittel und der in Anlage B (AVV) benannten Subunternehmer.</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Aufzeichnungen und Wortprotokolle werden dem Kunden auf Anfrage im Rahmen der technischen Möglichkeiten bereitgestellt.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Die Speicher- und Löschregeln je Agent und Anwendung ergeben sich aus § 14 Abs. (3) des Rahmenvertrages sowie aus Anlage B (§ 8 und Anhang 3); bei Vertragsende gilt § 21 des Rahmenvertrages.</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13.  </w:t>
      </w:r>
      <w:r>
        <w:rPr>
          <w:rFonts w:ascii="Arial" w:cs="Arial" w:eastAsia="Arial" w:hAnsi="Arial"/>
          <w:b/>
          <w:bCs/>
          <w:i w:val="false"/>
          <w:iCs w:val="false"/>
          <w:color w:val="0B0B0F"/>
          <w:sz w:val="24"/>
          <w:szCs w:val="24"/>
        </w:rPr>
        <w:t xml:space="preserve">Guardrails und Themenausschlüsse</w:t>
      </w:r>
    </w:p>
    <w:p>
      <w:pPr>
        <w:spacing w:after="120" w:line="276"/>
        <w:jc w:val="both"/>
      </w:pPr>
      <w:r>
        <w:rPr>
          <w:rFonts w:ascii="Arial" w:cs="Arial" w:eastAsia="Arial" w:hAnsi="Arial"/>
          <w:b w:val="false"/>
          <w:bCs w:val="false"/>
          <w:i w:val="false"/>
          <w:iCs w:val="false"/>
          <w:color w:val="1A1A1A"/>
          <w:sz w:val="21"/>
          <w:szCs w:val="21"/>
        </w:rPr>
        <w:t xml:space="preserve">Zur Sicherstellung eines verantwortungsvollen Betriebs unterliegen die Agenten den folgenden verbindlichen Leitplanken (Guardrails):</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Keine rechtsverbindlichen Zusagen:</w:t>
      </w:r>
      <w:r>
        <w:rPr>
          <w:rFonts w:ascii="Arial" w:cs="Arial" w:eastAsia="Arial" w:hAnsi="Arial"/>
          <w:b w:val="false"/>
          <w:bCs w:val="false"/>
          <w:i w:val="false"/>
          <w:iCs w:val="false"/>
          <w:color w:val="1A1A1A"/>
          <w:sz w:val="21"/>
          <w:szCs w:val="21"/>
        </w:rPr>
        <w:t xml:space="preserve"> Die Agenten geben keine verbindlichen Zusagen zu Preisen, Bestellungen oder Verträgen ab. Sie erteilen ausschließlich unverbindliche Auskünfte und vereinbaren Termine innerhalb der vom Kunden hinterlegten Verfügbarkeiten.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Keine Fachberatung:</w:t>
      </w:r>
      <w:r>
        <w:rPr>
          <w:rFonts w:ascii="Arial" w:cs="Arial" w:eastAsia="Arial" w:hAnsi="Arial"/>
          <w:b w:val="false"/>
          <w:bCs w:val="false"/>
          <w:i w:val="false"/>
          <w:iCs w:val="false"/>
          <w:color w:val="1A1A1A"/>
          <w:sz w:val="21"/>
          <w:szCs w:val="21"/>
        </w:rPr>
        <w:t xml:space="preserve"> Die Agenten erteilen keine medizinische, rechtliche oder steuerliche Beratung. Bei entsprechenden Anliegen erfolgt ein Hinweis auf fachkundige Stellen bzw. eine Weiterleitung.</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Eskalations- und Rückfragelogik:</w:t>
      </w:r>
      <w:r>
        <w:rPr>
          <w:rFonts w:ascii="Arial" w:cs="Arial" w:eastAsia="Arial" w:hAnsi="Arial"/>
          <w:b w:val="false"/>
          <w:bCs w:val="false"/>
          <w:i w:val="false"/>
          <w:iCs w:val="false"/>
          <w:color w:val="1A1A1A"/>
          <w:sz w:val="21"/>
          <w:szCs w:val="21"/>
        </w:rPr>
        <w:t xml:space="preserve"> Bei unklaren, komplexen oder außerhalb der Wissensbasis liegenden Anliegen stellt der Agent Rückfragen oder eskaliert an einen menschlichen Ansprechpartner bzw. an eine vom Kunden benannte Stelle.</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Kalender-Read-Back:</w:t>
      </w:r>
      <w:r>
        <w:rPr>
          <w:rFonts w:ascii="Arial" w:cs="Arial" w:eastAsia="Arial" w:hAnsi="Arial"/>
          <w:b w:val="false"/>
          <w:bCs w:val="false"/>
          <w:i w:val="false"/>
          <w:iCs w:val="false"/>
          <w:color w:val="1A1A1A"/>
          <w:sz w:val="21"/>
          <w:szCs w:val="21"/>
        </w:rPr>
        <w:t xml:space="preserve"> Zur Vermeidung von Doppelbuchungen erfolgt vor der Terminbestätigung ein Abgleich mit dem angebundenen Kalender (Read-Back) im Rahmen der technischen Möglichkeiten des angebundenen Systems.</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Themen- und Verhaltensausschlüsse:</w:t>
      </w:r>
      <w:r>
        <w:rPr>
          <w:rFonts w:ascii="Arial" w:cs="Arial" w:eastAsia="Arial" w:hAnsi="Arial"/>
          <w:b w:val="false"/>
          <w:bCs w:val="false"/>
          <w:i w:val="false"/>
          <w:iCs w:val="false"/>
          <w:color w:val="1A1A1A"/>
          <w:sz w:val="21"/>
          <w:szCs w:val="21"/>
        </w:rPr>
        <w:t xml:space="preserve"> Der Agent verweigert die Bearbeitung unzulässiger, diskriminierender oder gegen die vereinbarten Vorgaben verstoßender Anliegen.</w:t>
      </w:r>
    </w:p>
    <w:p>
      <w:pPr>
        <w:spacing w:after="120" w:line="276"/>
        <w:jc w:val="both"/>
      </w:pPr>
      <w:r>
        <w:rPr>
          <w:rFonts w:ascii="Arial" w:cs="Arial" w:eastAsia="Arial" w:hAnsi="Arial"/>
          <w:b w:val="false"/>
          <w:bCs w:val="false"/>
          <w:i w:val="false"/>
          <w:iCs w:val="false"/>
          <w:color w:val="1A1A1A"/>
          <w:sz w:val="21"/>
          <w:szCs w:val="21"/>
        </w:rPr>
        <w:t xml:space="preserve">Die </w:t>
      </w:r>
      <w:r>
        <w:rPr>
          <w:rFonts w:ascii="Arial" w:cs="Arial" w:eastAsia="Arial" w:hAnsi="Arial"/>
          <w:b/>
          <w:bCs/>
          <w:i w:val="false"/>
          <w:iCs w:val="false"/>
          <w:color w:val="1A1A1A"/>
          <w:sz w:val="21"/>
          <w:szCs w:val="21"/>
        </w:rPr>
        <w:t xml:space="preserve">Pflege und Aktualität der Wissensbasis</w:t>
      </w:r>
      <w:r>
        <w:rPr>
          <w:rFonts w:ascii="Arial" w:cs="Arial" w:eastAsia="Arial" w:hAnsi="Arial"/>
          <w:b w:val="false"/>
          <w:bCs w:val="false"/>
          <w:i w:val="false"/>
          <w:iCs w:val="false"/>
          <w:color w:val="1A1A1A"/>
          <w:sz w:val="21"/>
          <w:szCs w:val="21"/>
        </w:rPr>
        <w:t xml:space="preserve"> (z. B. Preise, Öffnungszeiten, Produktinformationen, FAQ) obliegt dem </w:t>
      </w:r>
      <w:r>
        <w:rPr>
          <w:rFonts w:ascii="Arial" w:cs="Arial" w:eastAsia="Arial" w:hAnsi="Arial"/>
          <w:b/>
          <w:bCs/>
          <w:i w:val="false"/>
          <w:iCs w:val="false"/>
          <w:color w:val="1A1A1A"/>
          <w:sz w:val="21"/>
          <w:szCs w:val="21"/>
        </w:rPr>
        <w:t xml:space="preserve">Kunden</w:t>
      </w:r>
      <w:r>
        <w:rPr>
          <w:rFonts w:ascii="Arial" w:cs="Arial" w:eastAsia="Arial" w:hAnsi="Arial"/>
          <w:b w:val="false"/>
          <w:bCs w:val="false"/>
          <w:i w:val="false"/>
          <w:iCs w:val="false"/>
          <w:color w:val="1A1A1A"/>
          <w:sz w:val="21"/>
          <w:szCs w:val="21"/>
        </w:rPr>
        <w:t xml:space="preserve">. NexAI verarbeitet die vom Kunden bereitgestellten Inhalte; für deren Richtigkeit, Vollständigkeit und Aktualität ist der Kunde verantwortlich.</w:t>
      </w:r>
    </w:p>
    <w:p>
      <w:pPr>
        <w:pStyle w:val="Heading1"/>
        <w:keepNext/>
        <w:spacing w:after="100" w:before="260"/>
      </w:pPr>
      <w:r>
        <w:rPr>
          <w:rFonts w:ascii="Arial" w:cs="Arial" w:eastAsia="Arial" w:hAnsi="Arial"/>
          <w:b/>
          <w:bCs/>
          <w:color w:val="1F3A8A"/>
          <w:sz w:val="24"/>
          <w:szCs w:val="24"/>
        </w:rPr>
        <w:t xml:space="preserve">14.  </w:t>
      </w:r>
      <w:r>
        <w:rPr>
          <w:rFonts w:ascii="Arial" w:cs="Arial" w:eastAsia="Arial" w:hAnsi="Arial"/>
          <w:b/>
          <w:bCs/>
          <w:i w:val="false"/>
          <w:iCs w:val="false"/>
          <w:color w:val="0B0B0F"/>
          <w:sz w:val="24"/>
          <w:szCs w:val="24"/>
        </w:rPr>
        <w:t xml:space="preserve">Nicht geschuldete Leistungen</w:t>
      </w:r>
    </w:p>
    <w:p>
      <w:pPr>
        <w:spacing w:after="120" w:line="276"/>
        <w:jc w:val="both"/>
      </w:pPr>
      <w:r>
        <w:rPr>
          <w:rFonts w:ascii="Arial" w:cs="Arial" w:eastAsia="Arial" w:hAnsi="Arial"/>
          <w:b w:val="false"/>
          <w:bCs w:val="false"/>
          <w:i w:val="false"/>
          <w:iCs w:val="false"/>
          <w:color w:val="1A1A1A"/>
          <w:sz w:val="21"/>
          <w:szCs w:val="21"/>
        </w:rPr>
        <w:t xml:space="preserve">Nicht Gegenstand des Vertrages sind, soweit nicht ausdrücklich im Auftragsformular vereinbart, insbesondere die folgenden Leistungen: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Erstellung von Websites, Landingpages und Online-Shops sowie deren Gestaltung und Pflege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Suchmaschinen-Optimierung (SEO) und redaktionelle Content-Erstellung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Betreuung von Social-Media-Kanälen sowie Erstellung und Veröffentlichung von Beiträgen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Recherche und Ansprache potenzieller Kunden des Kunden (Akquise, Lead-Recherche)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Planung, Schaltung und Betreuung bezahlter Werbekampagnen (z. B. Google Ads, Social Ads) sowie das damit verbundene Mediabudget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Grafik-, Logo- und Corporate-Design-Leistungen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Hosting, Wartung oder Betrieb kundeneigener oder fremder Systeme, die nicht Bestandteil der von NexAI bereitgestellten Betriebsmittel sind, soweit nicht nach Anlage E (Kauflizenz) oder im Auftragsformular vereinbart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Schulungen, Workshops und Einweisungen, soweit nicht ausdrücklich vereinbart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Beschaffung von Lizenzen, Guthaben oder Zugängen zu Drittdiensten, soweit nicht im Beitrag enthalten oder ausdrücklich vereinbart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Übernahme von Daten aus Vorsystemen (Datenmigration), soweit nicht ausdrücklich im Auftragsformular vereinbart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Veröffentlichung von Anwendungen in den App-Stores von Apple oder Google</w:t>
      </w:r>
    </w:p>
    <w:p>
      <w:pPr>
        <w:pStyle w:val="Heading1"/>
        <w:keepNext/>
        <w:spacing w:after="100" w:before="260"/>
      </w:pPr>
      <w:r>
        <w:rPr>
          <w:rFonts w:ascii="Arial" w:cs="Arial" w:eastAsia="Arial" w:hAnsi="Arial"/>
          <w:b/>
          <w:bCs/>
          <w:color w:val="1F3A8A"/>
          <w:sz w:val="24"/>
          <w:szCs w:val="24"/>
        </w:rPr>
        <w:t xml:space="preserve">15.  </w:t>
      </w:r>
      <w:r>
        <w:rPr>
          <w:rFonts w:ascii="Arial" w:cs="Arial" w:eastAsia="Arial" w:hAnsi="Arial"/>
          <w:b/>
          <w:bCs/>
          <w:i w:val="false"/>
          <w:iCs w:val="false"/>
          <w:color w:val="0B0B0F"/>
          <w:sz w:val="24"/>
          <w:szCs w:val="24"/>
        </w:rPr>
        <w:t xml:space="preserve">Keine Erfolgs-, Lead- oder Umsatzgarantie (Beschaffenheit)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schuldet die vertragsgemäße Bereitstellung und den vertragsgemäßen Betrieb der Agenten und Anwendungen nach Maßgabe dieser Anlage A und des Auftragsformulars. NexAI schuldet </w:t>
      </w:r>
      <w:r>
        <w:rPr>
          <w:rFonts w:ascii="Arial" w:cs="Arial" w:eastAsia="Arial" w:hAnsi="Arial"/>
          <w:b/>
          <w:bCs/>
          <w:i w:val="false"/>
          <w:iCs w:val="false"/>
          <w:color w:val="1A1A1A"/>
          <w:sz w:val="21"/>
          <w:szCs w:val="21"/>
        </w:rPr>
        <w:t xml:space="preserve">keinen wirtschaftlichen Erfolg</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Es wird </w:t>
      </w:r>
      <w:r>
        <w:rPr>
          <w:rFonts w:ascii="Arial" w:cs="Arial" w:eastAsia="Arial" w:hAnsi="Arial"/>
          <w:b/>
          <w:bCs/>
          <w:i w:val="false"/>
          <w:iCs w:val="false"/>
          <w:color w:val="1A1A1A"/>
          <w:sz w:val="21"/>
          <w:szCs w:val="21"/>
        </w:rPr>
        <w:t xml:space="preserve">keine Garantie</w:t>
      </w:r>
      <w:r>
        <w:rPr>
          <w:rFonts w:ascii="Arial" w:cs="Arial" w:eastAsia="Arial" w:hAnsi="Arial"/>
          <w:b w:val="false"/>
          <w:bCs w:val="false"/>
          <w:i w:val="false"/>
          <w:iCs w:val="false"/>
          <w:color w:val="1A1A1A"/>
          <w:sz w:val="21"/>
          <w:szCs w:val="21"/>
        </w:rPr>
        <w:t xml:space="preserve"> für eine bestimmte Anzahl an Leads, Terminen, Abschlüssen, Reichweiten oder für einen bestimmten Umsatz übernommen. Eine dahingehende Beschaffenheit wird nicht als geschuldet vereinbart.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Agenten beruhen auf </w:t>
      </w:r>
      <w:r>
        <w:rPr>
          <w:rFonts w:ascii="Arial" w:cs="Arial" w:eastAsia="Arial" w:hAnsi="Arial"/>
          <w:b/>
          <w:bCs/>
          <w:i w:val="false"/>
          <w:iCs w:val="false"/>
          <w:color w:val="1A1A1A"/>
          <w:sz w:val="21"/>
          <w:szCs w:val="21"/>
        </w:rPr>
        <w:t xml:space="preserve">wahrscheinlichkeitsbasierten KI-Verfahren</w:t>
      </w:r>
      <w:r>
        <w:rPr>
          <w:rFonts w:ascii="Arial" w:cs="Arial" w:eastAsia="Arial" w:hAnsi="Arial"/>
          <w:b w:val="false"/>
          <w:bCs w:val="false"/>
          <w:i w:val="false"/>
          <w:iCs w:val="false"/>
          <w:color w:val="1A1A1A"/>
          <w:sz w:val="21"/>
          <w:szCs w:val="21"/>
        </w:rPr>
        <w:t xml:space="preserve"> und sind naturgemäß </w:t>
      </w:r>
      <w:r>
        <w:rPr>
          <w:rFonts w:ascii="Arial" w:cs="Arial" w:eastAsia="Arial" w:hAnsi="Arial"/>
          <w:b/>
          <w:bCs/>
          <w:i w:val="false"/>
          <w:iCs w:val="false"/>
          <w:color w:val="1A1A1A"/>
          <w:sz w:val="21"/>
          <w:szCs w:val="21"/>
        </w:rPr>
        <w:t xml:space="preserve">nicht in jedem Einzelfall fehlerfrei</w:t>
      </w:r>
      <w:r>
        <w:rPr>
          <w:rFonts w:ascii="Arial" w:cs="Arial" w:eastAsia="Arial" w:hAnsi="Arial"/>
          <w:b w:val="false"/>
          <w:bCs w:val="false"/>
          <w:i w:val="false"/>
          <w:iCs w:val="false"/>
          <w:color w:val="1A1A1A"/>
          <w:sz w:val="21"/>
          <w:szCs w:val="21"/>
        </w:rPr>
        <w:t xml:space="preserve">. Die Parteien vereinbaren als geschuldete Beschaffenheit den Betrieb der Agenten im Rahmen des vereinbarten Leistungsbildes und der Guardrails (Ziffer 13). Vereinzelte inhaltliche Unrichtigkeiten, Missverständnisse oder nicht abschließend bearbeitete Anfragen begründen für sich genommen keinen Mangel, solange die Agenten im Rahmen dieses Leistungsbildes arbeiten; die gesetzlichen Mängelrechte des Kunden bei einem Abweichen von der vereinbarten Beschaffenheit bleiben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Verfügbarkeit richtet sich nach Anlage C (SLA); die Haftung richtet sich nach den Regelungen des Rahmenvertrages (§ Haftung) und der AGB (B2B).</w:t>
      </w:r>
    </w:p>
    <w:p>
      <w:pPr>
        <w:spacing w:after="160"/>
      </w:pPr>
      <w:r>
        <w:rPr>
          <w:sz w:val="2"/>
          <w:szCs w:val="2"/>
        </w:rPr>
        <w:t xml:space="preserve"/>
      </w:r>
    </w:p>
    <w:p>
      <w:pPr>
        <w:spacing w:after="140" w:before="80"/>
      </w:pPr>
      <w:r>
        <w:rPr>
          <w:rFonts w:ascii="Arial" w:cs="Arial" w:eastAsia="Arial" w:hAnsi="Arial"/>
          <w:b w:val="false"/>
          <w:bCs w:val="false"/>
          <w:i/>
          <w:iCs/>
          <w:color w:val="6B7280"/>
          <w:sz w:val="18"/>
          <w:szCs w:val="18"/>
        </w:rPr>
        <w:t xml:space="preserve">Diese Anlage A ist Bestandteil des Rahmenvertrages und gilt nur in Verbindung mit dem jeweiligen Auftragsformular. 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Anlage B – Vertrag zur Auftragsverarbeitung (AVV) gemäß Art. 28 DSGVO</w:t>
      </w:r>
    </w:p>
    <w:p>
      <w:pPr>
        <w:pBdr>
          <w:bottom w:val="single" w:color="1F3A8A" w:sz="18" w:space="4"/>
        </w:pBdr>
        <w:spacing w:after="160"/>
      </w:pPr>
    </w:p>
    <w:p>
      <w:pPr>
        <w:spacing w:after="200"/>
      </w:pPr>
      <w:r>
        <w:rPr>
          <w:rFonts w:ascii="Arial" w:cs="Arial" w:eastAsia="Arial" w:hAnsi="Arial"/>
          <w:b w:val="false"/>
          <w:bCs w:val="false"/>
          <w:i w:val="false"/>
          <w:iCs w:val="false"/>
          <w:color w:val="6B7280"/>
          <w:sz w:val="18"/>
          <w:szCs w:val="18"/>
        </w:rPr>
        <w:t xml:space="preserve">Stand: Oktober 2026</w:t>
      </w:r>
    </w:p>
    <w:p>
      <w:pPr>
        <w:spacing w:after="120" w:line="276"/>
        <w:jc w:val="both"/>
      </w:pPr>
      <w:r>
        <w:rPr>
          <w:rFonts w:ascii="Arial" w:cs="Arial" w:eastAsia="Arial" w:hAnsi="Arial"/>
          <w:b w:val="false"/>
          <w:bCs w:val="false"/>
          <w:i w:val="false"/>
          <w:iCs w:val="false"/>
          <w:color w:val="1A1A1A"/>
          <w:sz w:val="21"/>
          <w:szCs w:val="21"/>
        </w:rPr>
        <w:t xml:space="preserve">Dieser Vertrag zur Auftragsverarbeitung (nachfolgend "AVV") ist Anlage B zum Rahmenvertrag zwischen den nachstehenden Parteien und konkretisiert die datenschutzrechtlichen Pflichten bei der Verarbeitung personenbezogener Daten im Auftrag.</w:t>
      </w:r>
    </w:p>
    <w:p>
      <w:pPr>
        <w:pStyle w:val="Heading2"/>
        <w:keepNext/>
        <w:spacing w:after="80" w:before="160"/>
      </w:pPr>
      <w:r>
        <w:rPr>
          <w:rFonts w:ascii="Arial" w:cs="Arial" w:eastAsia="Arial" w:hAnsi="Arial"/>
          <w:b/>
          <w:bCs/>
          <w:i w:val="false"/>
          <w:iCs w:val="false"/>
          <w:color w:val="0B0B0F"/>
          <w:sz w:val="21"/>
          <w:szCs w:val="21"/>
        </w:rPr>
        <w:t xml:space="preserve">Parteien</w:t>
      </w:r>
    </w:p>
    <w:p>
      <w:pPr>
        <w:spacing w:after="120" w:line="276"/>
        <w:jc w:val="both"/>
      </w:pPr>
      <w:r>
        <w:rPr>
          <w:rFonts w:ascii="Arial" w:cs="Arial" w:eastAsia="Arial" w:hAnsi="Arial"/>
          <w:b/>
          <w:bCs/>
          <w:i w:val="false"/>
          <w:iCs w:val="false"/>
          <w:color w:val="1A1A1A"/>
          <w:sz w:val="21"/>
          <w:szCs w:val="21"/>
        </w:rPr>
        <w:t xml:space="preserve">Auftragsverarbeiter:</w:t>
      </w:r>
      <w:r>
        <w:rPr>
          <w:rFonts w:ascii="Arial" w:cs="Arial" w:eastAsia="Arial" w:hAnsi="Arial"/>
          <w:b w:val="false"/>
          <w:bCs w:val="false"/>
          <w:i w:val="false"/>
          <w:iCs w:val="false"/>
          <w:color w:val="1A1A1A"/>
          <w:sz w:val="21"/>
          <w:szCs w:val="21"/>
        </w:rPr>
        <w:t xml:space="preserve"> NexAI – Next Generation Artificial Intelligence GbR, Untere Bergstraße 13, 74586 Frankenhardt-Honhardt, Deutschland, vertreten durch die Gesellschafter Maximilian Trenk und Jason Brian Merklein, jeder allein (§ 720 Abs. 2 BGB), oder durch eine bevollmächtigte Person (Ziffer 16 des Leistungsscheins), E-Mail mbt@nex-a-i.com, Telefon 0176 80714816 — nachfolgend "NexAI".</w:t>
      </w:r>
    </w:p>
    <w:p>
      <w:pPr>
        <w:spacing w:after="120" w:line="276"/>
        <w:jc w:val="both"/>
      </w:pPr>
      <w:r>
        <w:rPr>
          <w:rFonts w:ascii="Arial" w:cs="Arial" w:eastAsia="Arial" w:hAnsi="Arial"/>
          <w:b/>
          <w:bCs/>
          <w:i w:val="false"/>
          <w:iCs w:val="false"/>
          <w:color w:val="1A1A1A"/>
          <w:sz w:val="21"/>
          <w:szCs w:val="21"/>
        </w:rPr>
        <w:t xml:space="preserve">Verantwortlicher (Kunde):</w:t>
      </w:r>
    </w:p>
    <w:p>
      <w:pPr>
        <w:spacing w:after="120"/>
      </w:pPr>
      <w:r>
        <w:rPr>
          <w:rFonts w:ascii="Arial" w:cs="Arial" w:eastAsia="Arial" w:hAnsi="Arial"/>
          <w:b/>
          <w:bCs/>
          <w:color w:val="1A1A1A"/>
          <w:sz w:val="21"/>
          <w:szCs w:val="21"/>
        </w:rPr>
        <w:t xml:space="preserve">Firma / Rechtsform: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Vertreten durch: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E-Mail: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Telefon: </w:t>
      </w:r>
      <w:r>
        <w:rPr>
          <w:rFonts w:ascii="Arial" w:cs="Arial" w:eastAsia="Arial" w:hAnsi="Arial"/>
          <w:color w:val="6B7280"/>
          <w:sz w:val="21"/>
          <w:szCs w:val="21"/>
          <w:u w:val="single"/>
        </w:rPr>
        <w:t xml:space="preserve">                                                </w:t>
      </w:r>
    </w:p>
    <w:p>
      <w:pPr>
        <w:spacing w:after="120" w:line="276"/>
        <w:jc w:val="both"/>
      </w:pPr>
      <w:r>
        <w:rPr>
          <w:rFonts w:ascii="Arial" w:cs="Arial" w:eastAsia="Arial" w:hAnsi="Arial"/>
          <w:b w:val="false"/>
          <w:bCs w:val="false"/>
          <w:i w:val="false"/>
          <w:iCs w:val="false"/>
          <w:color w:val="1A1A1A"/>
          <w:sz w:val="21"/>
          <w:szCs w:val="21"/>
        </w:rPr>
        <w:t xml:space="preserve">— nachfolgend "Kunde". NexAI und der Kunde nachfolgend gemeinsam "Parteien", einzeln "Partei".</w:t>
      </w:r>
    </w:p>
    <w:p>
      <w:pPr>
        <w:pBdr>
          <w:bottom w:val="single" w:color="D1D5DB" w:sz="6" w:space="2"/>
        </w:pBdr>
        <w:spacing w:after="120"/>
      </w:pPr>
    </w:p>
    <w:p>
      <w:pPr>
        <w:pStyle w:val="Heading1"/>
        <w:keepNext/>
        <w:spacing w:after="100" w:before="260"/>
      </w:pPr>
      <w:r>
        <w:rPr>
          <w:rFonts w:ascii="Arial" w:cs="Arial" w:eastAsia="Arial" w:hAnsi="Arial"/>
          <w:b/>
          <w:bCs/>
          <w:color w:val="1F3A8A"/>
          <w:sz w:val="24"/>
          <w:szCs w:val="24"/>
        </w:rPr>
        <w:t xml:space="preserve">§ 1  </w:t>
      </w:r>
      <w:r>
        <w:rPr>
          <w:rFonts w:ascii="Arial" w:cs="Arial" w:eastAsia="Arial" w:hAnsi="Arial"/>
          <w:b/>
          <w:bCs/>
          <w:i w:val="false"/>
          <w:iCs w:val="false"/>
          <w:color w:val="0B0B0F"/>
          <w:sz w:val="24"/>
          <w:szCs w:val="24"/>
        </w:rPr>
        <w:t xml:space="preserve">Präambel, Gegenstand und Rollenverteilung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erbringt für den Kunden Leistungen im Zusammenhang mit der Bereitstellung und dem Betrieb KI-gestützter Agenten (Voice Agent, Chat Agent, Automatisierungen, individuelle KI-Agenten – nachfolgend "Agenten") sowie von Softwareanwendungen (NexAI CRM, NexAI Kalender, NexAI Mailagent, individuelle Anwendungen – nachfolgend "Anwendungen") und zugehöriger Projekt- und Betriebsleistungen. Im Rahmen dieser Leistungen verarbeitet NexAI personenbezogene Daten im Auftrag des Kunden. Betreibt der Kunde eine Anwendung als Kauflizenz selbst (Anlage E), verarbeitet NexAI personenbezogene Daten nur bei Wartungs- und Supportzugriffen; nur insoweit gilt dieser AVV.</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ist hinsichtlich der im Auftrag verarbeiteten personenbezogenen Daten </w:t>
      </w:r>
      <w:r>
        <w:rPr>
          <w:rFonts w:ascii="Arial" w:cs="Arial" w:eastAsia="Arial" w:hAnsi="Arial"/>
          <w:b/>
          <w:bCs/>
          <w:i w:val="false"/>
          <w:iCs w:val="false"/>
          <w:color w:val="1A1A1A"/>
          <w:sz w:val="21"/>
          <w:szCs w:val="21"/>
        </w:rPr>
        <w:t xml:space="preserve">Verantwortlicher</w:t>
      </w:r>
      <w:r>
        <w:rPr>
          <w:rFonts w:ascii="Arial" w:cs="Arial" w:eastAsia="Arial" w:hAnsi="Arial"/>
          <w:b w:val="false"/>
          <w:bCs w:val="false"/>
          <w:i w:val="false"/>
          <w:iCs w:val="false"/>
          <w:color w:val="1A1A1A"/>
          <w:sz w:val="21"/>
          <w:szCs w:val="21"/>
        </w:rPr>
        <w:t xml:space="preserve"> im Sinne des Art. 4 Nr. 7 DSGVO. NexAI ist insoweit </w:t>
      </w:r>
      <w:r>
        <w:rPr>
          <w:rFonts w:ascii="Arial" w:cs="Arial" w:eastAsia="Arial" w:hAnsi="Arial"/>
          <w:b/>
          <w:bCs/>
          <w:i w:val="false"/>
          <w:iCs w:val="false"/>
          <w:color w:val="1A1A1A"/>
          <w:sz w:val="21"/>
          <w:szCs w:val="21"/>
        </w:rPr>
        <w:t xml:space="preserve">Auftragsverarbeiter</w:t>
      </w:r>
      <w:r>
        <w:rPr>
          <w:rFonts w:ascii="Arial" w:cs="Arial" w:eastAsia="Arial" w:hAnsi="Arial"/>
          <w:b w:val="false"/>
          <w:bCs w:val="false"/>
          <w:i w:val="false"/>
          <w:iCs w:val="false"/>
          <w:color w:val="1A1A1A"/>
          <w:sz w:val="21"/>
          <w:szCs w:val="21"/>
        </w:rPr>
        <w:t xml:space="preserve"> im Sinne des Art. 4 Nr. 8 DSGVO und verarbeitet die Daten ausschließlich weisungsgebunden nach Maßgabe dieses AVV.</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Gegenstand dieses AVV ist die Konkretisierung der datenschutzrechtlichen Rechte und Pflichten der Parteien nach Art. 28 DSGVO. Die Zuordnung der Rolle von NexAI je Leistungsart ergibt sich aus der Rollenmatrix in § 15.</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Bei Widersprüchen zwischen diesem AVV und den übrigen Vertragsdokumenten (Rahmenvertrag, Auftragsformular/Leistungsschein, Anlage A, Anlage C, Anlage D, AGB) gehen in </w:t>
      </w:r>
      <w:r>
        <w:rPr>
          <w:rFonts w:ascii="Arial" w:cs="Arial" w:eastAsia="Arial" w:hAnsi="Arial"/>
          <w:b/>
          <w:bCs/>
          <w:i w:val="false"/>
          <w:iCs w:val="false"/>
          <w:color w:val="1A1A1A"/>
          <w:sz w:val="21"/>
          <w:szCs w:val="21"/>
        </w:rPr>
        <w:t xml:space="preserve">datenschutzrechtlichen Fragen</w:t>
      </w:r>
      <w:r>
        <w:rPr>
          <w:rFonts w:ascii="Arial" w:cs="Arial" w:eastAsia="Arial" w:hAnsi="Arial"/>
          <w:b w:val="false"/>
          <w:bCs w:val="false"/>
          <w:i w:val="false"/>
          <w:iCs w:val="false"/>
          <w:color w:val="1A1A1A"/>
          <w:sz w:val="21"/>
          <w:szCs w:val="21"/>
        </w:rPr>
        <w:t xml:space="preserve"> die Regelungen dieses AVV vor (Sachvorrang). Im Übrigen gelten die Regelungen des Rahmenvertrags und seiner Anlagen fort.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Die eigene straf-, ordnungswidrigkeiten- und bußgeldrechtliche Verantwortlichkeit von NexAI sowie eine etwaige eigene datenschutzrechtliche Verantwortlichkeit von NexAI für Zwecke, die NexAI selbst bestimmt, bleiben von diesem AVV unberührt.</w:t>
      </w:r>
    </w:p>
    <w:p>
      <w:pPr>
        <w:pStyle w:val="Heading1"/>
        <w:keepNext/>
        <w:spacing w:after="100" w:before="260"/>
      </w:pPr>
      <w:r>
        <w:rPr>
          <w:rFonts w:ascii="Arial" w:cs="Arial" w:eastAsia="Arial" w:hAnsi="Arial"/>
          <w:b/>
          <w:bCs/>
          <w:color w:val="1F3A8A"/>
          <w:sz w:val="24"/>
          <w:szCs w:val="24"/>
        </w:rPr>
        <w:t xml:space="preserve">§ 2  </w:t>
      </w:r>
      <w:r>
        <w:rPr>
          <w:rFonts w:ascii="Arial" w:cs="Arial" w:eastAsia="Arial" w:hAnsi="Arial"/>
          <w:b/>
          <w:bCs/>
          <w:i w:val="false"/>
          <w:iCs w:val="false"/>
          <w:color w:val="0B0B0F"/>
          <w:sz w:val="24"/>
          <w:szCs w:val="24"/>
        </w:rPr>
        <w:t xml:space="preserve">Art, Umfang, Zweck und Dauer der Verarbeitung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Art der Verarbeitung:</w:t>
      </w:r>
      <w:r>
        <w:rPr>
          <w:rFonts w:ascii="Arial" w:cs="Arial" w:eastAsia="Arial" w:hAnsi="Arial"/>
          <w:b w:val="false"/>
          <w:bCs w:val="false"/>
          <w:i w:val="false"/>
          <w:iCs w:val="false"/>
          <w:color w:val="1A1A1A"/>
          <w:sz w:val="21"/>
          <w:szCs w:val="21"/>
        </w:rPr>
        <w:t xml:space="preserve"> Erheben, Erfassen, Organisieren, Speichern, Anpassen, Auslesen, Abfragen, Verwenden, Übermitteln, Bereitstellen, Kombinieren, Einschränken und Löschen personenbezogener Daten mittels automatisierter Verfahren im Rahmen des Betriebs der Agenten und Anwendungen (u. a. Sprachdialog, Chatdialog, Terminvereinbarung und Terminverwaltung, Weiterleitung, Automatisierungen, Verwaltung von Kontakt-, Vorgangs- und Aufgabendaten, Versand von Bestätigungen und Erinnerungen; beim NexAI Mailagent zusätzlich Abruf und Spiegelung der Nachrichten aus den vom Kunden benannten Postfächern, ihre Einstufung, Zusammenfassung und Prüfung auf Betrugsmerkmale mittels eines Sprachmodells, das Erkennen von Fristen, Terminen und Rechnungen, das Erstellen von Antwortentwürfen, deren Versand nach Freigabe sowie die Protokollierung der Freigaben).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Zweck der Verarbeitung:</w:t>
      </w:r>
      <w:r>
        <w:rPr>
          <w:rFonts w:ascii="Arial" w:cs="Arial" w:eastAsia="Arial" w:hAnsi="Arial"/>
          <w:b w:val="false"/>
          <w:bCs w:val="false"/>
          <w:i w:val="false"/>
          <w:iCs w:val="false"/>
          <w:color w:val="1A1A1A"/>
          <w:sz w:val="21"/>
          <w:szCs w:val="21"/>
        </w:rPr>
        <w:t xml:space="preserve"> Bereitstellung, Einrichtung, Betrieb, Wartung und Support der Agenten und Anwendungen für den Kunden, insbesondere die Beantwortung von Anfragen von Endnutzern, die Vereinbarung, Verwaltung und Bestätigung von Terminen, die Weiterleitung von Anliegen sowie die Verwaltung der Kontakt-, Vorgangs- und Aufgabendaten des Kunden in den beauftragten Anwendungen. Beim NexAI Mailagent ist Zweck die Unterstützung des Kunden bei der Bearbeitung seiner geschäftlichen E-Mail-Korrespondenz.</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Umfang der Verarbeitung:</w:t>
      </w:r>
      <w:r>
        <w:rPr>
          <w:rFonts w:ascii="Arial" w:cs="Arial" w:eastAsia="Arial" w:hAnsi="Arial"/>
          <w:b w:val="false"/>
          <w:bCs w:val="false"/>
          <w:i w:val="false"/>
          <w:iCs w:val="false"/>
          <w:color w:val="1A1A1A"/>
          <w:sz w:val="21"/>
          <w:szCs w:val="21"/>
        </w:rPr>
        <w:t xml:space="preserve"> bestimmt sich nach den im Auftragsformular/Leistungsschein und in Anlage A (Leistungsbeschreibung) festgelegten Agenten, Anwendungen und Funktionen sowie nach den dokumentierten Weisungen des Kunden.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Dauer der Verarbeitung:</w:t>
      </w:r>
      <w:r>
        <w:rPr>
          <w:rFonts w:ascii="Arial" w:cs="Arial" w:eastAsia="Arial" w:hAnsi="Arial"/>
          <w:b w:val="false"/>
          <w:bCs w:val="false"/>
          <w:i w:val="false"/>
          <w:iCs w:val="false"/>
          <w:color w:val="1A1A1A"/>
          <w:sz w:val="21"/>
          <w:szCs w:val="21"/>
        </w:rPr>
        <w:t xml:space="preserve"> Die Verarbeitung beginnt mit der Aufnahme der Leistungserbringung und endet mit Beendigung des Rahmenvertrags bzw. der jeweiligen Leistung, vorbehaltlich der Regelungen zu Löschung und Rückgabe (§ 12) und etwaiger gesetzlicher Aufbewahrungspflichten. Dieser AVV gilt für die Dauer der Verarbeitung personenbezogener Daten im Auftrag.</w:t>
      </w:r>
    </w:p>
    <w:p>
      <w:pPr>
        <w:pStyle w:val="Heading1"/>
        <w:keepNext/>
        <w:spacing w:after="100" w:before="260"/>
      </w:pPr>
      <w:r>
        <w:rPr>
          <w:rFonts w:ascii="Arial" w:cs="Arial" w:eastAsia="Arial" w:hAnsi="Arial"/>
          <w:b/>
          <w:bCs/>
          <w:color w:val="1F3A8A"/>
          <w:sz w:val="24"/>
          <w:szCs w:val="24"/>
        </w:rPr>
        <w:t xml:space="preserve">§ 3  </w:t>
      </w:r>
      <w:r>
        <w:rPr>
          <w:rFonts w:ascii="Arial" w:cs="Arial" w:eastAsia="Arial" w:hAnsi="Arial"/>
          <w:b/>
          <w:bCs/>
          <w:i w:val="false"/>
          <w:iCs w:val="false"/>
          <w:color w:val="0B0B0F"/>
          <w:sz w:val="24"/>
          <w:szCs w:val="24"/>
        </w:rPr>
        <w:t xml:space="preserve">Kategorien betroffener Personen und personenbezogener Daten</w:t>
      </w:r>
    </w:p>
    <w:p>
      <w:pPr>
        <w:spacing w:after="120" w:line="276"/>
        <w:jc w:val="both"/>
      </w:pPr>
      <w:r>
        <w:rPr>
          <w:rFonts w:ascii="Arial" w:cs="Arial" w:eastAsia="Arial" w:hAnsi="Arial"/>
          <w:b w:val="false"/>
          <w:bCs w:val="false"/>
          <w:i w:val="false"/>
          <w:iCs w:val="false"/>
          <w:color w:val="1A1A1A"/>
          <w:sz w:val="21"/>
          <w:szCs w:val="21"/>
        </w:rPr>
        <w:t xml:space="preserve">Gegenstand der Verarbeitung sind – abhängig von den beauftragten Agenten und Anwendungen – die folgenden Kategorien:</w:t>
      </w:r>
    </w:p>
    <w:p>
      <w:pPr>
        <w:pStyle w:val="Heading2"/>
        <w:keepNext/>
        <w:spacing w:after="80" w:before="160"/>
      </w:pPr>
      <w:r>
        <w:rPr>
          <w:rFonts w:ascii="Arial" w:cs="Arial" w:eastAsia="Arial" w:hAnsi="Arial"/>
          <w:b/>
          <w:bCs/>
          <w:i w:val="false"/>
          <w:iCs w:val="false"/>
          <w:color w:val="0B0B0F"/>
          <w:sz w:val="21"/>
          <w:szCs w:val="21"/>
        </w:rPr>
        <w:t xml:space="preserve">3.1 Kategorien betroffener Personen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Ansprechpartner, Beschäftigte und Vertreter des Kunden (Nutzer der Verwaltungs-/Konfigurationsfunktionen, Kontaktpersonen);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Endnutzer</w:t>
      </w:r>
      <w:r>
        <w:rPr>
          <w:rFonts w:ascii="Arial" w:cs="Arial" w:eastAsia="Arial" w:hAnsi="Arial"/>
          <w:b w:val="false"/>
          <w:bCs w:val="false"/>
          <w:i w:val="false"/>
          <w:iCs w:val="false"/>
          <w:color w:val="1A1A1A"/>
          <w:sz w:val="21"/>
          <w:szCs w:val="21"/>
        </w:rPr>
        <w:t xml:space="preserve"> – Personen, die mit den Agenten oder Anwendungen interagieren, insbesondere Anrufer (Voice Agent), Chat-Kontakte (Chat Agent), Personen, die einen Termin buchen (NexAI Kalender), sowie Nutzerinnen und Nutzer einer für den Kunden betriebenen Anwendung (NexAI App);</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Kontakte, Interessenten und Kundschaft des Kunden, deren Daten der Kunde in den beauftragten Anwendungen speichert oder die aus den Agenten dorthin übernommen werden (NexAI CRM, NexAI Kalender);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Dritte, deren Daten von Endnutzern im Verlauf einer Interaktion oder in einem Freitextfeld mitgeteilt werden (z. B. genannte Kontaktpersonen);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Absender, Empfänger und in Nachrichten oder Anhängen genannte Personen der über den NexAI Mailagent bearbeiteten Korrespondenz, insbesondere Kunden, Interessenten, Lieferanten, Behörden, Bewerber, Beschäftigte des Kunden und sonstige Dritte.</w:t>
      </w:r>
    </w:p>
    <w:p>
      <w:pPr>
        <w:pStyle w:val="Heading2"/>
        <w:keepNext/>
        <w:spacing w:after="80" w:before="160"/>
      </w:pPr>
      <w:r>
        <w:rPr>
          <w:rFonts w:ascii="Arial" w:cs="Arial" w:eastAsia="Arial" w:hAnsi="Arial"/>
          <w:b/>
          <w:bCs/>
          <w:i w:val="false"/>
          <w:iCs w:val="false"/>
          <w:color w:val="0B0B0F"/>
          <w:sz w:val="21"/>
          <w:szCs w:val="21"/>
        </w:rPr>
        <w:t xml:space="preserve">3.2 Kategorien personenbezogener Daten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Kontakt- und Stammdaten (Name, Anrede, Firma/Funktion, Telefonnummer, E-Mail-Adresse, Anschrift);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Gesprächs- und Kommunikationsinhalte (Inhalte von Anrufen, Chats, Nachrichten);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Wortprotokolle (Transkripte) und – nur bei ausdrücklich aktivierter Funktion – Tonaufzeichnungen von Gesprächen;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Termindaten (Terminwünsche, Datum/Uhrzeit, Anlass, Status);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Anliegen-, Vorgangs- und Statusdaten (Anfrage, Kategorie, Ergebnis, Weiterleitung);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Auftrags-, Vorgangs- und Belegdaten, soweit der Kunde solche in einer Anwendung führt (z. B. Leistung, Betrag, Status);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Notizen und Freitexte, die der Kunde oder Endnutzer in einer Anwendung erfassen;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Zugangs- und Protokolldaten der Nutzerkonten des Kunden (Anmeldedaten – Passwörter ausschließlich als Prüfsumme –, Sitzungen, Änderungsprotokoll);</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Metadaten und technische Daten (Verbindungs-/Nutzungsdaten, Zeitstempel, Kennungen, Kanal, Dauer, technische Protokolldaten);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beim NexAI Mailagent: vollständiger Inhalt von Nachrichten und Anhängen, Kopf- und Verkehrsdaten, in der Korrespondenz enthaltene Zahlungsdaten (insbesondere Bankverbindungen) sowie die vom System erzeugten Bewertungen (Einstufung, Zusammenfassung, Tonfall, Betrugsbewertung, erkannte Fristen und Rechnungen), Antwortentwürfe, das Freigabeprotokoll (Person, Zeitpunkt, Aktion, Betreff, Wortlaut, Prüfsumme), das Verwaltungsprotokoll und zu selbsttätig versandten Antworten Empfänger, Betreff und Message-ID (Schleifenschutz); ferner Name, Anmeldeadresse und Rolle der vom Kunden angelegten Personen und die ihnen zugeordneten Postfächer, ein Abdruck des Passworts, das verschlüsselt gespeicherte Geheimnis des zweiten Faktors, offene Sitzungen, Zuweisungen, interne Notizen und Abwesenheiten mit Vertretung sowie die verschlüsselt gespeicherten Zugangsdaten zu den Postfächern des Kunden.</w:t>
      </w:r>
    </w:p>
    <w:p>
      <w:pPr>
        <w:spacing w:after="140" w:before="80"/>
      </w:pPr>
      <w:r>
        <w:rPr>
          <w:rFonts w:ascii="Arial" w:cs="Arial" w:eastAsia="Arial" w:hAnsi="Arial"/>
          <w:b w:val="false"/>
          <w:bCs w:val="false"/>
          <w:i/>
          <w:iCs/>
          <w:color w:val="6B7280"/>
          <w:sz w:val="18"/>
          <w:szCs w:val="18"/>
        </w:rPr>
        <w:t xml:space="preserve">Besondere Kategorien personenbezogener Daten (Art. 9 DSGVO) sind nicht Gegenstand der beauftragten Verarbeitung, soweit nachstehend nichts anderes geregelt ist. Der Kunde setzt Agenten nicht gezielt zu ihrer Erhebung ein. Teilen Endnutzer solche Daten unaufgefordert mit, verarbeitet NexAI sie nur im Rahmen der Weisungen und Löschregeln dieses AVV. Beim NexAI Mailagent lässt sich nicht verhindern, dass eingehende Post solche Daten enthält, insbesondere Gesundheitsangaben in Krankmeldungen oder Bewerbungen; insoweit sind sie Gegenstand der beauftragten Verarbeitung. NexAI verarbeitet sie wie den übrigen Nachrichteninhalt zu den in Anlage A Ziffer 5.4 beschriebenen Zwecken und übermittelt sie dazu an den Anbieter des Sprachmodells (Anhang 2); der Mailagent sucht nicht gezielt nach ihnen und bildet aus ihnen keine Profile. Der Kunde prüft als Verantwortlicher, ob eine Ausnahme nach Art. 9 Abs. 2 DSGVO besteht. Postfächer, über die regelmäßig besondere Kategorien eingehen (etwa einer Personalabteilung, für Krankmeldungen oder eines Gesundheitsberufs), werden nur nach gesonderter Vereinbarung in Textform angebunden. Im NexAI Kalender können Vorher-Nachher-Fotos Gesundheitsbezug haben; die Funktion setzt eine ausdrückliche Einwilligung der betroffenen Person voraus, die der Kunde einholt.</w:t>
      </w:r>
    </w:p>
    <w:p>
      <w:pPr>
        <w:pStyle w:val="Heading1"/>
        <w:keepNext/>
        <w:spacing w:after="100" w:before="260"/>
      </w:pPr>
      <w:r>
        <w:rPr>
          <w:rFonts w:ascii="Arial" w:cs="Arial" w:eastAsia="Arial" w:hAnsi="Arial"/>
          <w:b/>
          <w:bCs/>
          <w:color w:val="1F3A8A"/>
          <w:sz w:val="24"/>
          <w:szCs w:val="24"/>
        </w:rPr>
        <w:t xml:space="preserve">§ 3a  </w:t>
      </w:r>
      <w:r>
        <w:rPr>
          <w:rFonts w:ascii="Arial" w:cs="Arial" w:eastAsia="Arial" w:hAnsi="Arial"/>
          <w:b/>
          <w:bCs/>
          <w:i w:val="false"/>
          <w:iCs w:val="false"/>
          <w:color w:val="0B0B0F"/>
          <w:sz w:val="24"/>
          <w:szCs w:val="24"/>
        </w:rPr>
        <w:t xml:space="preserve">Berufsgeheimnisse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sichert zu, dass er nicht zu den in § 203 Abs. 1 oder Abs. 2 StGB genannten Personen gehört und NexAI keine Daten überlässt, die einem solchen Berufsgeheimnis unterliegen. Ändert sich das, teilt er es NexAI vor der Überlassung in Textform mit.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Für Kunden, die einem Berufsgeheimnis nach § 203 StGB unterliegen, erbringt NexAI den Voice Agent, [den Chat Agent] und den NexAI Mailagent nicht. Andere Leistungen erbringt NexAI für sie nur nach gesonderter Vereinbarung, in der NexAI sich zur Verschwiegenheit verpflichtet und die eingesetzten Unterauftragsverarbeiter ihrerseits zur Verschwiegenheit verpflichtet (§ 203 Abs. 3 Satz 2, Abs. 4 StGB).</w:t>
      </w:r>
    </w:p>
    <w:p>
      <w:pPr>
        <w:pStyle w:val="Heading1"/>
        <w:keepNext/>
        <w:spacing w:after="100" w:before="260"/>
      </w:pPr>
      <w:r>
        <w:rPr>
          <w:rFonts w:ascii="Arial" w:cs="Arial" w:eastAsia="Arial" w:hAnsi="Arial"/>
          <w:b/>
          <w:bCs/>
          <w:color w:val="1F3A8A"/>
          <w:sz w:val="24"/>
          <w:szCs w:val="24"/>
        </w:rPr>
        <w:t xml:space="preserve">§ 4  </w:t>
      </w:r>
      <w:r>
        <w:rPr>
          <w:rFonts w:ascii="Arial" w:cs="Arial" w:eastAsia="Arial" w:hAnsi="Arial"/>
          <w:b/>
          <w:bCs/>
          <w:i w:val="false"/>
          <w:iCs w:val="false"/>
          <w:color w:val="0B0B0F"/>
          <w:sz w:val="24"/>
          <w:szCs w:val="24"/>
        </w:rPr>
        <w:t xml:space="preserve">Weisungsbindung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verarbeitet personenbezogene Daten ausschließlich auf </w:t>
      </w:r>
      <w:r>
        <w:rPr>
          <w:rFonts w:ascii="Arial" w:cs="Arial" w:eastAsia="Arial" w:hAnsi="Arial"/>
          <w:b/>
          <w:bCs/>
          <w:i w:val="false"/>
          <w:iCs w:val="false"/>
          <w:color w:val="1A1A1A"/>
          <w:sz w:val="21"/>
          <w:szCs w:val="21"/>
        </w:rPr>
        <w:t xml:space="preserve">dokumentierte Weisung</w:t>
      </w:r>
      <w:r>
        <w:rPr>
          <w:rFonts w:ascii="Arial" w:cs="Arial" w:eastAsia="Arial" w:hAnsi="Arial"/>
          <w:b w:val="false"/>
          <w:bCs w:val="false"/>
          <w:i w:val="false"/>
          <w:iCs w:val="false"/>
          <w:color w:val="1A1A1A"/>
          <w:sz w:val="21"/>
          <w:szCs w:val="21"/>
        </w:rPr>
        <w:t xml:space="preserve"> des Kunden — auch in Bezug auf die Übermittlung personenbezogener Daten an ein Drittland —, es sei denn, NexAI ist nach Unionsrecht oder dem Recht eines Mitgliedstaats zur Verarbeitung verpflichtet (Art. 28 Abs. 3 lit. a DSGVO). In diesem Fall teilt NexAI dem Kunden diese rechtliche Anforderung vor der Verarbeitung mit, sofern das betreffende Recht eine solche Mitteilung nicht wegen eines wichtigen öffentlichen Interesses verbietet.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maßgeblichen Weisungen sind in diesem AVV und den übrigen Vertragsdokumenten festgelegt (Erstweisung). Weitergehende Einzelweisungen erteilt der Kunde in Textform gegenüber der in § 14 genannten Kontaktstelle. Mündliche Weisungen bestätigt der Kunde unverzüglich in Textform.</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informiert den Kunden unverzüglich, wenn NexAI der Auffassung ist, dass eine Weisung gegen datenschutzrechtliche Vorschriften verstößt (Art. 28 Abs. 3 Unterabsatz 2 DSGVO). NexAI ist berechtigt, die Durchführung der betreffenden Weisung bis zu deren Bestätigung oder Änderung durch den Kunden auszusetzen.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Kunde trägt die Verantwortung für die Rechtmäßigkeit der Weisungen und der Verarbeitung, insbesondere für das Vorliegen einer tragfähigen Rechtsgrundlage.</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Weisungen über die Anwendung.</w:t>
      </w:r>
      <w:r>
        <w:rPr>
          <w:rFonts w:ascii="Arial" w:cs="Arial" w:eastAsia="Arial" w:hAnsi="Arial"/>
          <w:b w:val="false"/>
          <w:bCs w:val="false"/>
          <w:i w:val="false"/>
          <w:iCs w:val="false"/>
          <w:color w:val="1A1A1A"/>
          <w:sz w:val="21"/>
          <w:szCs w:val="21"/>
        </w:rPr>
        <w:t xml:space="preserve"> Stellt eine Anwendung dem Kunden Einstellungen zur Verfügung, insbesondere beim NexAI Mailagent die angebundenen Postfächer, die Personen und ihre Rechte, die Löschfristen, die Freigaberegeln und die Empfänger, an die ohne vorherige Freigabe gesendet werden darf, so ist jede Einstellung, die eine Person mit der Rolle Verwaltung vornimmt, eine dokumentierte Weisung des Kunden im Sinne von Art. 28 Abs. 3 Satz 2 Buchst. a DSGVO; Absatz (2) Satz 2 gilt insoweit nicht. Die Anwendung hält Person, Zeitpunkt und Inhalt jeder solchen Einstellung fest [setzt voraus für den bisherigen Inhalt und für die Aufbewahrung des geltenden Stands über 1.095 Tage hinaus: Erweiterung des Verwaltungsprotokolls]. Die Einstellungen wirken, ohne dass NexAI sie vorher prüft. Der Kunde stellt sicher, dass die Rolle Verwaltung nur Personen erhalten, die ihn insoweit vertreten dürfen. Absatz (3) bleibt unberührt, soweit NexAI davon Kenntnis erlangt, dass eine Einstellung gegen Datenschutzvorschriften verstößt.</w:t>
      </w:r>
    </w:p>
    <w:p>
      <w:pPr>
        <w:pStyle w:val="Heading1"/>
        <w:keepNext/>
        <w:spacing w:after="100" w:before="260"/>
      </w:pPr>
      <w:r>
        <w:rPr>
          <w:rFonts w:ascii="Arial" w:cs="Arial" w:eastAsia="Arial" w:hAnsi="Arial"/>
          <w:b/>
          <w:bCs/>
          <w:color w:val="1F3A8A"/>
          <w:sz w:val="24"/>
          <w:szCs w:val="24"/>
        </w:rPr>
        <w:t xml:space="preserve">§ 5  </w:t>
      </w:r>
      <w:r>
        <w:rPr>
          <w:rFonts w:ascii="Arial" w:cs="Arial" w:eastAsia="Arial" w:hAnsi="Arial"/>
          <w:b/>
          <w:bCs/>
          <w:i w:val="false"/>
          <w:iCs w:val="false"/>
          <w:color w:val="0B0B0F"/>
          <w:sz w:val="24"/>
          <w:szCs w:val="24"/>
        </w:rPr>
        <w:t xml:space="preserve">Vertraulichkeit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verpflichtet die mit der Verarbeitung befassten Personen zur Vertraulichkeit, soweit sie nicht bereits einer angemessenen gesetzlichen Verschwiegenheitspflicht unterliegen (Art. 28 Abs. 3 lit. b, Art. 29, Art. 32 Abs. 4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stellt sicher, dass Personen, die zur Verarbeitung der personenbezogenen Daten befugt sind, mit den einschlägigen datenschutzrechtlichen Anforderungen vertraut sind und Daten nur auf Weisung verarbeiten. Die Verpflichtung besteht auch nach Beendigung der Tätigkeit fort.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Als Gesellschafter der NexAI GbR sind Maximilian Trenk und Jason Brian Merklein unmittelbar zur Vertraulichkeit verpflichtet.</w:t>
      </w:r>
    </w:p>
    <w:p>
      <w:pPr>
        <w:pStyle w:val="Heading1"/>
        <w:keepNext/>
        <w:spacing w:after="100" w:before="260"/>
      </w:pPr>
      <w:r>
        <w:rPr>
          <w:rFonts w:ascii="Arial" w:cs="Arial" w:eastAsia="Arial" w:hAnsi="Arial"/>
          <w:b/>
          <w:bCs/>
          <w:color w:val="1F3A8A"/>
          <w:sz w:val="24"/>
          <w:szCs w:val="24"/>
        </w:rPr>
        <w:t xml:space="preserve">§ 6  </w:t>
      </w:r>
      <w:r>
        <w:rPr>
          <w:rFonts w:ascii="Arial" w:cs="Arial" w:eastAsia="Arial" w:hAnsi="Arial"/>
          <w:b/>
          <w:bCs/>
          <w:i w:val="false"/>
          <w:iCs w:val="false"/>
          <w:color w:val="0B0B0F"/>
          <w:sz w:val="24"/>
          <w:szCs w:val="24"/>
        </w:rPr>
        <w:t xml:space="preserve">Technische und organisatorische Maßnahmen (Art. 32 DSGVO)</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trifft die zur Gewährleistung eines dem Risiko angemessenen Schutzniveaus erforderlichen technischen und organisatorischen Maßnahmen nach Art. 32 DSGVO. Die zum Zeitpunkt des Vertragsschlusses getroffenen Maßnahmen sind in </w:t>
      </w:r>
      <w:r>
        <w:rPr>
          <w:rFonts w:ascii="Arial" w:cs="Arial" w:eastAsia="Arial" w:hAnsi="Arial"/>
          <w:b/>
          <w:bCs/>
          <w:i w:val="false"/>
          <w:iCs w:val="false"/>
          <w:color w:val="1A1A1A"/>
          <w:sz w:val="21"/>
          <w:szCs w:val="21"/>
        </w:rPr>
        <w:t xml:space="preserve">Anhang 1 (Technische und organisatorische Maßnahmen)</w:t>
      </w:r>
      <w:r>
        <w:rPr>
          <w:rFonts w:ascii="Arial" w:cs="Arial" w:eastAsia="Arial" w:hAnsi="Arial"/>
          <w:b w:val="false"/>
          <w:bCs w:val="false"/>
          <w:i w:val="false"/>
          <w:iCs w:val="false"/>
          <w:color w:val="1A1A1A"/>
          <w:sz w:val="21"/>
          <w:szCs w:val="21"/>
        </w:rPr>
        <w:t xml:space="preserve"> beschrieben und sind Bestandteil dieses AVV.</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ist berechtigt, die Maßnahmen an den Stand der Technik und an geänderte tatsächliche Verhältnisse anzupassen, sofern das vereinbarte Schutzniveau nicht unterschritten wird. Wesentliche Änderungen dokumentiert NexAI und stellt sie dem Kunden auf Anfrage zur Verfügung.</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überprüft die Wirksamkeit der Maßnahmen in angemessenen Abständen.</w:t>
      </w:r>
    </w:p>
    <w:p>
      <w:pPr>
        <w:pStyle w:val="Heading1"/>
        <w:keepNext/>
        <w:spacing w:after="100" w:before="260"/>
      </w:pPr>
      <w:r>
        <w:rPr>
          <w:rFonts w:ascii="Arial" w:cs="Arial" w:eastAsia="Arial" w:hAnsi="Arial"/>
          <w:b/>
          <w:bCs/>
          <w:color w:val="1F3A8A"/>
          <w:sz w:val="24"/>
          <w:szCs w:val="24"/>
        </w:rPr>
        <w:t xml:space="preserve">§ 7  </w:t>
      </w:r>
      <w:r>
        <w:rPr>
          <w:rFonts w:ascii="Arial" w:cs="Arial" w:eastAsia="Arial" w:hAnsi="Arial"/>
          <w:b/>
          <w:bCs/>
          <w:i w:val="false"/>
          <w:iCs w:val="false"/>
          <w:color w:val="0B0B0F"/>
          <w:sz w:val="24"/>
          <w:szCs w:val="24"/>
        </w:rPr>
        <w:t xml:space="preserve">Zweckbindung, kein Modelltraining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verarbeitet die personenbezogenen Daten des Kunden ausschließlich zu den in § 2 genannten Zwecken und nicht für eigene Zwecke.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verwendet die im Auftrag verarbeiteten personenbezogenen Daten </w:t>
      </w:r>
      <w:r>
        <w:rPr>
          <w:rFonts w:ascii="Arial" w:cs="Arial" w:eastAsia="Arial" w:hAnsi="Arial"/>
          <w:b/>
          <w:bCs/>
          <w:i w:val="false"/>
          <w:iCs w:val="false"/>
          <w:color w:val="1A1A1A"/>
          <w:sz w:val="21"/>
          <w:szCs w:val="21"/>
        </w:rPr>
        <w:t xml:space="preserve">nicht zum Training, zur Weiterentwicklung, zum Fine-Tuning oder zur Verbesserung eigener oder fremder KI-Modelle</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richtet die eingesetzten Dienste so ein, dass übermittelte Daten nicht zum Training verwendet werden. Speicherfristen bei den Diensten verkürzt NexAI, soweit der genutzte Tarif es erlaubt. Den Stand je Dienst (Training ausgeschlossen, Speicherdauer beim Dienst, Verarbeitungsregion) nennen Anhang 2 und Anhang 3; Änderungen teilt NexAI nach § 9 Abs. (2) mit. Soweit ein Subunternehmer Daten über die Erbringung der Leistung hinaus zu eigenen Zwecken verarbeitet, geschieht dies außerhalb des Auftragsverhältnisses; § 15 (Rollenmatrix) bleibt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Eine über die Auftragserfüllung hinausgehende Verarbeitung durch NexAI zu eigenen Zwecken – insbesondere zur Produktverbesserung – erfolgt nur nach Anonymisierung oder auf gesonderter, dokumentierter Rechtsgrundlage (Art. 28 Abs. 10 DSGVO).</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 8  </w:t>
      </w:r>
      <w:r>
        <w:rPr>
          <w:rFonts w:ascii="Arial" w:cs="Arial" w:eastAsia="Arial" w:hAnsi="Arial"/>
          <w:b/>
          <w:bCs/>
          <w:i w:val="false"/>
          <w:iCs w:val="false"/>
          <w:color w:val="0B0B0F"/>
          <w:sz w:val="24"/>
          <w:szCs w:val="24"/>
        </w:rPr>
        <w:t xml:space="preserve">Speicherorte, Speicherdauer und Löschung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Verarbeitung erfolgt teils intern bei NexAI, teils extern bei den in </w:t>
      </w:r>
      <w:r>
        <w:rPr>
          <w:rFonts w:ascii="Arial" w:cs="Arial" w:eastAsia="Arial" w:hAnsi="Arial"/>
          <w:b/>
          <w:bCs/>
          <w:i w:val="false"/>
          <w:iCs w:val="false"/>
          <w:color w:val="1A1A1A"/>
          <w:sz w:val="21"/>
          <w:szCs w:val="21"/>
        </w:rPr>
        <w:t xml:space="preserve">Anhang 2 (Unterauftragsverarbeiter)</w:t>
      </w:r>
      <w:r>
        <w:rPr>
          <w:rFonts w:ascii="Arial" w:cs="Arial" w:eastAsia="Arial" w:hAnsi="Arial"/>
          <w:b w:val="false"/>
          <w:bCs w:val="false"/>
          <w:i w:val="false"/>
          <w:iCs w:val="false"/>
          <w:color w:val="1A1A1A"/>
          <w:sz w:val="21"/>
          <w:szCs w:val="21"/>
        </w:rPr>
        <w:t xml:space="preserve"> genannten Subunternehmern, ggf. auch in Drittländern nach Maßgabe von § 10.</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Agenten</w:t>
      </w:r>
      <w:r>
        <w:rPr>
          <w:rFonts w:ascii="Arial" w:cs="Arial" w:eastAsia="Arial" w:hAnsi="Arial"/>
          <w:b w:val="false"/>
          <w:bCs w:val="false"/>
          <w:i w:val="false"/>
          <w:iCs w:val="false"/>
          <w:color w:val="1A1A1A"/>
          <w:sz w:val="21"/>
          <w:szCs w:val="21"/>
        </w:rPr>
        <w:t xml:space="preserve"> (Voice Agent, Chat Agent, Automatisierungen, individuelle KI-Agenten) verarbeiten Gesprächs- und Nachrichteninhalte grundsätzlich nur für die Dauer der jeweiligen Interaktion. Hält ein eingesetzter Dienst Inhalte oder Protokolle darüber hinaus vor und lässt sich das im genutzten Tarif abschalten oder verkürzen, schaltet NexAI es ab oder verkürzt es [setzt voraus beim Voice Agent: Abschaltung der Gesprächsprotokollierung beim Plattformanbieter]. Was sich nicht abschalten lässt, steht mit seiner Dauer in Anhang 3. Bei NexAI selbst gespeicherte Daten der Agenten werden spätestens sechs (6) Monate nach ihrer Erhebung gelöscht, sofern der Kunde keine kürzere Frist anweist.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Anwendungen</w:t>
      </w:r>
      <w:r>
        <w:rPr>
          <w:rFonts w:ascii="Arial" w:cs="Arial" w:eastAsia="Arial" w:hAnsi="Arial"/>
          <w:b w:val="false"/>
          <w:bCs w:val="false"/>
          <w:i w:val="false"/>
          <w:iCs w:val="false"/>
          <w:color w:val="1A1A1A"/>
          <w:sz w:val="21"/>
          <w:szCs w:val="21"/>
        </w:rPr>
        <w:t xml:space="preserve"> (NexAI CRM, NexAI Kalender, NexAI Mailagent, individuelle Anwendungen) sind das System, in dem der Kunde seine Daten führt. Die Daten bleiben dort, bis der Kunde sie löscht oder eine Löschregel greift. Die Löschregeln und ihre Vorgaben je Anwendung stehen in Anhang 3. Der Kunde bestimmt die Fristen als Verantwortlicher; Einstellungen in der Anwendung sind Weisungen nach § 4 Abs. (5). NexAI richtet die im Auftragsformular angegebenen Fristen ein, sonst gelten die Vorgaben aus Anhang 3. Wendet eine Anwendung eine Löschregel erst an, wenn der Kunde sie eingerichtet hat, weist NexAI bei der Einrichtung darauf hin. Beim NexAI Mailagent gelten die nach Anlage A Ziffer 5.4 Abs. (10) vereinbarten oder vom Kunden in der Anwendung eingestellten Fristen.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Daten, deren Aufbewahrung der Kunde selbst schuldet (etwa Belege nach § 147 AO, § 14b UStG, § 257 HGB), bewahrt NexAI während der Vertragslaufzeit auf Weisung des Kunden in der Anwendung auf. § 12 bleibt unberührt.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Tonaufzeichnung und dauerhafte Speicherung von Gesprächsmitschriften</w:t>
      </w:r>
      <w:r>
        <w:rPr>
          <w:rFonts w:ascii="Arial" w:cs="Arial" w:eastAsia="Arial" w:hAnsi="Arial"/>
          <w:b w:val="false"/>
          <w:bCs w:val="false"/>
          <w:i w:val="false"/>
          <w:iCs w:val="false"/>
          <w:color w:val="1A1A1A"/>
          <w:sz w:val="21"/>
          <w:szCs w:val="21"/>
        </w:rPr>
        <w:t xml:space="preserve"> sind standardmäßig </w:t>
      </w:r>
      <w:r>
        <w:rPr>
          <w:rFonts w:ascii="Arial" w:cs="Arial" w:eastAsia="Arial" w:hAnsi="Arial"/>
          <w:b/>
          <w:bCs/>
          <w:i w:val="false"/>
          <w:iCs w:val="false"/>
          <w:color w:val="1A1A1A"/>
          <w:sz w:val="21"/>
          <w:szCs w:val="21"/>
        </w:rPr>
        <w:t xml:space="preserve">deaktiviert</w:t>
      </w:r>
      <w:r>
        <w:rPr>
          <w:rFonts w:ascii="Arial" w:cs="Arial" w:eastAsia="Arial" w:hAnsi="Arial"/>
          <w:b w:val="false"/>
          <w:bCs w:val="false"/>
          <w:i w:val="false"/>
          <w:iCs w:val="false"/>
          <w:color w:val="1A1A1A"/>
          <w:sz w:val="21"/>
          <w:szCs w:val="21"/>
        </w:rPr>
        <w:t xml:space="preserve">. Sie werden nur auf ausdrückliche, dokumentierte Weisung des Kunden aktiviert und stets mit der vertraglich vorgesehenen Pflicht-Ansage (KI-Hinweis sowie ggf. Aufzeichnungshinweis) verbunden. Der Kunde verantwortet die Rechtsgrundlage einer solchen Aufzeichnung.</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Gelöschte Daten verbleiben bis zum Ablauf der Sicherungsrotation (Anhang 3) in den verschlüsselten Datensicherungen und werden danach überschrieben. Nach einer Wiederherstellung aus einer Sicherung zieht NexAI zwischenzeitlich erledigte Löschungen nach.</w:t>
      </w:r>
    </w:p>
    <w:p>
      <w:pPr>
        <w:pStyle w:val="Heading1"/>
        <w:keepNext/>
        <w:spacing w:after="100" w:before="260"/>
      </w:pPr>
      <w:r>
        <w:rPr>
          <w:rFonts w:ascii="Arial" w:cs="Arial" w:eastAsia="Arial" w:hAnsi="Arial"/>
          <w:b/>
          <w:bCs/>
          <w:color w:val="1F3A8A"/>
          <w:sz w:val="24"/>
          <w:szCs w:val="24"/>
        </w:rPr>
        <w:t xml:space="preserve">§ 9  </w:t>
      </w:r>
      <w:r>
        <w:rPr>
          <w:rFonts w:ascii="Arial" w:cs="Arial" w:eastAsia="Arial" w:hAnsi="Arial"/>
          <w:b/>
          <w:bCs/>
          <w:i w:val="false"/>
          <w:iCs w:val="false"/>
          <w:color w:val="0B0B0F"/>
          <w:sz w:val="24"/>
          <w:szCs w:val="24"/>
        </w:rPr>
        <w:t xml:space="preserve">Unterauftragsverarbeiter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erteilt NexAI die </w:t>
      </w:r>
      <w:r>
        <w:rPr>
          <w:rFonts w:ascii="Arial" w:cs="Arial" w:eastAsia="Arial" w:hAnsi="Arial"/>
          <w:b/>
          <w:bCs/>
          <w:i w:val="false"/>
          <w:iCs w:val="false"/>
          <w:color w:val="1A1A1A"/>
          <w:sz w:val="21"/>
          <w:szCs w:val="21"/>
        </w:rPr>
        <w:t xml:space="preserve">allgemeine schriftliche Genehmigung</w:t>
      </w:r>
      <w:r>
        <w:rPr>
          <w:rFonts w:ascii="Arial" w:cs="Arial" w:eastAsia="Arial" w:hAnsi="Arial"/>
          <w:b w:val="false"/>
          <w:bCs w:val="false"/>
          <w:i w:val="false"/>
          <w:iCs w:val="false"/>
          <w:color w:val="1A1A1A"/>
          <w:sz w:val="21"/>
          <w:szCs w:val="21"/>
        </w:rPr>
        <w:t xml:space="preserve"> zur Beauftragung von Unterauftragsverarbeitern (Art. 28 Abs. 2 Satz 2 DSGVO). Die zum Zeitpunkt des Vertragsschlusses eingesetzten Subunternehmer sind in </w:t>
      </w:r>
      <w:r>
        <w:rPr>
          <w:rFonts w:ascii="Arial" w:cs="Arial" w:eastAsia="Arial" w:hAnsi="Arial"/>
          <w:b/>
          <w:bCs/>
          <w:i w:val="false"/>
          <w:iCs w:val="false"/>
          <w:color w:val="1A1A1A"/>
          <w:sz w:val="21"/>
          <w:szCs w:val="21"/>
        </w:rPr>
        <w:t xml:space="preserve">Anhang 2 (Unterauftragsverarbeiter)</w:t>
      </w:r>
      <w:r>
        <w:rPr>
          <w:rFonts w:ascii="Arial" w:cs="Arial" w:eastAsia="Arial" w:hAnsi="Arial"/>
          <w:b w:val="false"/>
          <w:bCs w:val="false"/>
          <w:i w:val="false"/>
          <w:iCs w:val="false"/>
          <w:color w:val="1A1A1A"/>
          <w:sz w:val="21"/>
          <w:szCs w:val="21"/>
        </w:rPr>
        <w:t xml:space="preserve"> aufgeführt und werden hiermit genehmigt.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informiert den Kunden über jede beabsichtigte Hinzuziehung oder Ersetzung eines Unterauftragsverarbeiters </w:t>
      </w:r>
      <w:r>
        <w:rPr>
          <w:rFonts w:ascii="Arial" w:cs="Arial" w:eastAsia="Arial" w:hAnsi="Arial"/>
          <w:b/>
          <w:bCs/>
          <w:i w:val="false"/>
          <w:iCs w:val="false"/>
          <w:color w:val="1A1A1A"/>
          <w:sz w:val="21"/>
          <w:szCs w:val="21"/>
        </w:rPr>
        <w:t xml:space="preserve">mindestens vierzehn (14) Tage vorab in Textform</w:t>
      </w:r>
      <w:r>
        <w:rPr>
          <w:rFonts w:ascii="Arial" w:cs="Arial" w:eastAsia="Arial" w:hAnsi="Arial"/>
          <w:b w:val="false"/>
          <w:bCs w:val="false"/>
          <w:i w:val="false"/>
          <w:iCs w:val="false"/>
          <w:color w:val="1A1A1A"/>
          <w:sz w:val="21"/>
          <w:szCs w:val="21"/>
        </w:rPr>
        <w:t xml:space="preserve"> an den in § 14 benannten Datenschutzkontakt (Art. 28 Abs. 2 Satz 2 DSGVO). Die Mitteilung nennt Name, Anschrift, Leistung, Ort der Verarbeitung und Übermittlungsgrundlage.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Ändert ein in Anhang 2 genannter Dienst seinerseits seine Unterauftragsverarbeiter, leitet NexAI dessen Mitteilung binnen drei Werktagen nach Eingang an den Kunden weiter; die Listen dieser Dienste sind, soweit veröffentlicht, in Anhang 2 genannt. Der Kunde kann binnen der ihm verbleibenden Frist, mindestens aber binnen sieben Tagen nach der Weiterleitung widersprechen; NexAI macht den Widerspruch gegenüber dem Dienst geltend, soweit dessen Vertrag es zulässt.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Kunde kann einer Änderung nach Absatz (2) oder (3) in Textform unter Angabe der datenschutzrechtlichen Gründe </w:t>
      </w:r>
      <w:r>
        <w:rPr>
          <w:rFonts w:ascii="Arial" w:cs="Arial" w:eastAsia="Arial" w:hAnsi="Arial"/>
          <w:b/>
          <w:bCs/>
          <w:i w:val="false"/>
          <w:iCs w:val="false"/>
          <w:color w:val="1A1A1A"/>
          <w:sz w:val="21"/>
          <w:szCs w:val="21"/>
        </w:rPr>
        <w:t xml:space="preserve">widersprechen</w:t>
      </w:r>
      <w:r>
        <w:rPr>
          <w:rFonts w:ascii="Arial" w:cs="Arial" w:eastAsia="Arial" w:hAnsi="Arial"/>
          <w:b w:val="false"/>
          <w:bCs w:val="false"/>
          <w:i w:val="false"/>
          <w:iCs w:val="false"/>
          <w:color w:val="1A1A1A"/>
          <w:sz w:val="21"/>
          <w:szCs w:val="21"/>
        </w:rPr>
        <w:t xml:space="preserve">. Im Fall eines berechtigten Widerspruchs bemühen sich die Parteien um eine einvernehmliche Lösung. Kann diese nicht gefunden werden und ist NexAI die Erbringung der betroffenen Leistung ohne den Subunternehmer nicht mit zumutbarem Aufwand möglich, steht jeder Partei ein </w:t>
      </w:r>
      <w:r>
        <w:rPr>
          <w:rFonts w:ascii="Arial" w:cs="Arial" w:eastAsia="Arial" w:hAnsi="Arial"/>
          <w:b/>
          <w:bCs/>
          <w:i w:val="false"/>
          <w:iCs w:val="false"/>
          <w:color w:val="1A1A1A"/>
          <w:sz w:val="21"/>
          <w:szCs w:val="21"/>
        </w:rPr>
        <w:t xml:space="preserve">Sonderkündigungsrecht</w:t>
      </w:r>
      <w:r>
        <w:rPr>
          <w:rFonts w:ascii="Arial" w:cs="Arial" w:eastAsia="Arial" w:hAnsi="Arial"/>
          <w:b w:val="false"/>
          <w:bCs w:val="false"/>
          <w:i w:val="false"/>
          <w:iCs w:val="false"/>
          <w:color w:val="1A1A1A"/>
          <w:sz w:val="21"/>
          <w:szCs w:val="21"/>
        </w:rPr>
        <w:t xml:space="preserve"> hinsichtlich der betroffenen Leistung mit angemessener Frist zu.</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NexAI verpflichtet jeden Unterauftragsverarbeiter durch Vertrag oder anderes Rechtsinstrument auf Datenschutzpflichten, die den Pflichten dieses AVV im Wesentlichen entsprechen, insbesondere auf hinreichende Garantien nach Art. 28 Abs. 3 und Abs. 4 DSGVO. Kommt der Unterauftragsverarbeiter seinen Datenschutzpflichten nicht nach, haftet NexAI gegenüber dem Kunden für die Einhaltung dieser Pflichten.</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Nicht als Unterauftragsverarbeitung im Sinne dieser Regelung gelten Nebenleistungen, die NexAI als Nebenleistung in Anspruch nimmt (z. B. Telekommunikations-, Post-/Transport-, Wartungsleistungen), sofern dabei kein Zugriff auf die im Auftrag verarbeiteten Daten zum Zweck der Verarbeitung erfolgt.</w:t>
      </w:r>
    </w:p>
    <w:p>
      <w:pPr>
        <w:pStyle w:val="Heading1"/>
        <w:keepNext/>
        <w:spacing w:after="100" w:before="260"/>
      </w:pPr>
      <w:r>
        <w:rPr>
          <w:rFonts w:ascii="Arial" w:cs="Arial" w:eastAsia="Arial" w:hAnsi="Arial"/>
          <w:b/>
          <w:bCs/>
          <w:color w:val="1F3A8A"/>
          <w:sz w:val="24"/>
          <w:szCs w:val="24"/>
        </w:rPr>
        <w:t xml:space="preserve">§ 10  </w:t>
      </w:r>
      <w:r>
        <w:rPr>
          <w:rFonts w:ascii="Arial" w:cs="Arial" w:eastAsia="Arial" w:hAnsi="Arial"/>
          <w:b/>
          <w:bCs/>
          <w:i w:val="false"/>
          <w:iCs w:val="false"/>
          <w:color w:val="0B0B0F"/>
          <w:sz w:val="24"/>
          <w:szCs w:val="24"/>
        </w:rPr>
        <w:t xml:space="preserve">Drittlandtransfer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übermittelt personenbezogene Daten nur an die in Anhang 2 genannten Empfänger in Drittländern; die Genehmigung nach § 9 Abs. (1) ist insoweit dokumentierte Weisung im Sinne des Art. 28 Abs. 3 Satz 2 Buchst. a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Grundlage je Empfänger nennt Anhang 2: der Angemessenheitsbeschluss zum EU-U.S. Data Privacy Framework (Art. 45 DSGVO), soweit der Empfänger zertifiziert ist; sonst Standardvertragsklauseln nach Durchführungsbeschluss (EU) 2021/914 (Art. 46 Abs. 2 Buchst. c DSGVO), und zwar (a) Modul 3, soweit NexAI selbst an einen Unterauftragsverarbeiter im Drittland übermittelt (derzeit Vapi, Inc.), (b) die Klauseln zwischen der Gesellschaft in der EU und ihrer US-Gesellschaft, soweit NexAIs Vertragspartner in der EU sitzt und weiterübermittelt (derzeit OpenAI Ireland Limited und Anthropic Ireland, Limited; Google Ireland Limited, soweit eingesetzt).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Für Übermittlungen auf Grundlage von Standardvertragsklauseln hat NexAI eine Bewertung nach Klausel 14 der Klauseln (Transfer Impact Assessment) erstellt und hält sie aktuell [setzt voraus: Bewertung für Vapi um das Gesprächsprotokoll beim Anbieter und Bewertung für Anthropic um die Verarbeitung von Kundenpost fortgeschrieben]. NexAI übermittelt dem Kunden auf Anfrage diese Bewertung und eine Kopie der Klauseln.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stellt dem Kunden auf Anfrage Nachweise über die getroffenen Transfergarantien in geeigneter Form zur Verfügung.</w:t>
      </w:r>
    </w:p>
    <w:p>
      <w:pPr>
        <w:pStyle w:val="Heading1"/>
        <w:keepNext/>
        <w:spacing w:after="100" w:before="260"/>
      </w:pPr>
      <w:r>
        <w:rPr>
          <w:rFonts w:ascii="Arial" w:cs="Arial" w:eastAsia="Arial" w:hAnsi="Arial"/>
          <w:b/>
          <w:bCs/>
          <w:color w:val="1F3A8A"/>
          <w:sz w:val="24"/>
          <w:szCs w:val="24"/>
        </w:rPr>
        <w:t xml:space="preserve">§ 11  </w:t>
      </w:r>
      <w:r>
        <w:rPr>
          <w:rFonts w:ascii="Arial" w:cs="Arial" w:eastAsia="Arial" w:hAnsi="Arial"/>
          <w:b/>
          <w:bCs/>
          <w:i w:val="false"/>
          <w:iCs w:val="false"/>
          <w:color w:val="0B0B0F"/>
          <w:sz w:val="24"/>
          <w:szCs w:val="24"/>
        </w:rPr>
        <w:t xml:space="preserve">Unterstützungspflichten</w:t>
      </w:r>
    </w:p>
    <w:p>
      <w:pPr>
        <w:pStyle w:val="Heading2"/>
        <w:keepNext/>
        <w:spacing w:after="80" w:before="160"/>
      </w:pPr>
      <w:r>
        <w:rPr>
          <w:rFonts w:ascii="Arial" w:cs="Arial" w:eastAsia="Arial" w:hAnsi="Arial"/>
          <w:b/>
          <w:bCs/>
          <w:i w:val="false"/>
          <w:iCs w:val="false"/>
          <w:color w:val="0B0B0F"/>
          <w:sz w:val="21"/>
          <w:szCs w:val="21"/>
        </w:rPr>
        <w:t xml:space="preserve">11.1 Betroffenenrechte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unterstützt den Kunden mit geeigneten technischen und organisatorischen Maßnahmen, soweit möglich, bei der Erfüllung von Anträgen betroffener Personen auf Wahrnehmung ihrer Rechte nach Art. 12–23 DSGVO (Auskunft, Berichtigung, Löschung, Einschränkung, Datenübertragbarkeit, Widerspruch).</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Wendet sich eine betroffene Person unmittelbar an NexAI, leitet NexAI das Anliegen unverzüglich an den Kunden weiter und beantwortet es nicht selbständig, es sei denn, der Kunde weist dies an.</w:t>
      </w:r>
    </w:p>
    <w:p>
      <w:pPr>
        <w:pStyle w:val="Heading2"/>
        <w:keepNext/>
        <w:spacing w:after="80" w:before="160"/>
      </w:pPr>
      <w:r>
        <w:rPr>
          <w:rFonts w:ascii="Arial" w:cs="Arial" w:eastAsia="Arial" w:hAnsi="Arial"/>
          <w:b/>
          <w:bCs/>
          <w:i w:val="false"/>
          <w:iCs w:val="false"/>
          <w:color w:val="0B0B0F"/>
          <w:sz w:val="21"/>
          <w:szCs w:val="21"/>
        </w:rPr>
        <w:t xml:space="preserve">11.2 Meldung von Datenschutzverletzungen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meldet dem Kunden jede Verletzung des Schutzes personenbezogener Daten </w:t>
      </w:r>
      <w:r>
        <w:rPr>
          <w:rFonts w:ascii="Arial" w:cs="Arial" w:eastAsia="Arial" w:hAnsi="Arial"/>
          <w:b/>
          <w:bCs/>
          <w:i w:val="false"/>
          <w:iCs w:val="false"/>
          <w:color w:val="1A1A1A"/>
          <w:sz w:val="21"/>
          <w:szCs w:val="21"/>
        </w:rPr>
        <w:t xml:space="preserve">unverzüglich, spätestens jedoch innerhalb von vierundzwanzig (24) Stunden nach Kenntniserlangung</w:t>
      </w:r>
      <w:r>
        <w:rPr>
          <w:rFonts w:ascii="Arial" w:cs="Arial" w:eastAsia="Arial" w:hAnsi="Arial"/>
          <w:b w:val="false"/>
          <w:bCs w:val="false"/>
          <w:i w:val="false"/>
          <w:iCs w:val="false"/>
          <w:color w:val="1A1A1A"/>
          <w:sz w:val="21"/>
          <w:szCs w:val="21"/>
        </w:rPr>
        <w:t xml:space="preserve">, in Textform an den in § 14 benannten Datenschutzkontakt des Kunden per E-Mail und zusätzlich telefonisch (Art. 33 Abs. 2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Meldung enthält, soweit verfügbar, eine Beschreibung der Art der Verletzung, die Kontaktdaten einer Anlaufstelle bei NexAI, die Kategorien und die ungefähre Zahl der betroffenen Personen und Datensätze, die wahrscheinlichen Folgen sowie die ergriffenen oder vorgeschlagenen Abhilfemaßnahmen. Soweit die Informationen nicht zeitgleich bereitgestellt werden können, dürfen sie ohne unangemessene weitere Verzögerung schrittweise nachgereicht werden.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unterstützt den Kunden bei dessen Melde- und Benachrichtigungspflichten nach Art. 33 und Art. 34 DSGVO und ergreift angemessene Maßnahmen zur Eindämmung und Behebung.</w:t>
      </w:r>
    </w:p>
    <w:p>
      <w:pPr>
        <w:pStyle w:val="Heading2"/>
        <w:keepNext/>
        <w:spacing w:after="80" w:before="160"/>
      </w:pPr>
      <w:r>
        <w:rPr>
          <w:rFonts w:ascii="Arial" w:cs="Arial" w:eastAsia="Arial" w:hAnsi="Arial"/>
          <w:b/>
          <w:bCs/>
          <w:i w:val="false"/>
          <w:iCs w:val="false"/>
          <w:color w:val="0B0B0F"/>
          <w:sz w:val="21"/>
          <w:szCs w:val="21"/>
        </w:rPr>
        <w:t xml:space="preserve">11.3 Datenschutz-Folgenabschätzung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unterstützt den Kunden unter Berücksichtigung der Art der Verarbeitung und der verfügbaren Informationen bei einer Datenschutz-Folgenabschätzung (Art. 35 DSGVO) sowie bei einer vorherigen Konsultation der Aufsichtsbehörde (Art. 36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Einsatz künstlicher Intelligenz zur Steuerung der Interaktion mit den Betroffenen oder zur Bewertung persönlicher Aspekte steht auf der Liste der Datenschutzkonferenz nach Art. 35 Abs. 4 DSGVO (Version 1.1 vom 17.10.2018, Nr. 11). Für den Voice Agent und den Chat Agent hat der Kunde danach eine Datenschutz-Folgenabschätzung durchzuführen, für den NexAI Mailagent wegen der Einstufung eingehender Nachrichten einschließlich des Tonfalls des Absenders voraussichtlich ebenfalls. Wer eine solche Verarbeitung vornimmt, muss nach § 38 Abs. 1 Satz 2 BDSG unabhängig von der Zahl der Beschäftigten einen Datenschutzbeauftragten benennen.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stellt dem Kunden vor Inbetriebnahme unentgeltlich einen vorausgefüllten Baustein für die Folgenabschätzung bereit (Beschreibung der Verarbeitung, eingesetzte Dienste, Datenflüsse, von der Anwendung ausgehende Risiken, von NexAI getroffene Maßnahmen) und hält ihn bei wesentlichen Änderungen aktuell [setzt voraus für Chat Agent und NexAI Mailagent: Baustein erstellt]. Die Bewertung der Notwendigkeit und Verhältnismäßigkeit für die Zwecke des Kunden und das Ergebnis der Abschätzung obliegen dem Kunden.</w:t>
      </w:r>
    </w:p>
    <w:p>
      <w:pPr>
        <w:pStyle w:val="Heading2"/>
        <w:keepNext/>
        <w:spacing w:after="80" w:before="160"/>
      </w:pPr>
      <w:r>
        <w:rPr>
          <w:rFonts w:ascii="Arial" w:cs="Arial" w:eastAsia="Arial" w:hAnsi="Arial"/>
          <w:b/>
          <w:bCs/>
          <w:i w:val="false"/>
          <w:iCs w:val="false"/>
          <w:color w:val="0B0B0F"/>
          <w:sz w:val="21"/>
          <w:szCs w:val="21"/>
        </w:rPr>
        <w:t xml:space="preserve">11.4 Vergütung von Unterstützungsleistungen</w:t>
      </w:r>
    </w:p>
    <w:p>
      <w:pPr>
        <w:spacing w:after="120" w:line="276"/>
        <w:jc w:val="both"/>
      </w:pPr>
      <w:r>
        <w:rPr>
          <w:rFonts w:ascii="Arial" w:cs="Arial" w:eastAsia="Arial" w:hAnsi="Arial"/>
          <w:b w:val="false"/>
          <w:bCs w:val="false"/>
          <w:i w:val="false"/>
          <w:iCs w:val="false"/>
          <w:color w:val="1A1A1A"/>
          <w:sz w:val="21"/>
          <w:szCs w:val="21"/>
        </w:rPr>
        <w:t xml:space="preserve">Unterstützungsleistungen nach diesem § 11, die über den vertraglich geschuldeten Umfang hinausgehen und nicht auf einem NexAI zuzurechnenden Umstand beruhen, kann NexAI nach vorheriger Ankündigung zu den vereinbarten bzw., soweit nicht vereinbart, den üblichen Sätzen abrechnen. Die gesetzlich geschuldeten Grundunterstützungspflichten nach Art. 28 Abs. 3 DSGVO bleiben unentgeltlich.</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 12  </w:t>
      </w:r>
      <w:r>
        <w:rPr>
          <w:rFonts w:ascii="Arial" w:cs="Arial" w:eastAsia="Arial" w:hAnsi="Arial"/>
          <w:b/>
          <w:bCs/>
          <w:i w:val="false"/>
          <w:iCs w:val="false"/>
          <w:color w:val="0B0B0F"/>
          <w:sz w:val="24"/>
          <w:szCs w:val="24"/>
        </w:rPr>
        <w:t xml:space="preserve">Löschung und Rückgabe nach Beendigung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Nach Ende der Leistung stellt NexAI dem Kunden </w:t>
      </w:r>
      <w:r>
        <w:rPr>
          <w:rFonts w:ascii="Arial" w:cs="Arial" w:eastAsia="Arial" w:hAnsi="Arial"/>
          <w:b/>
          <w:bCs/>
          <w:i w:val="false"/>
          <w:iCs w:val="false"/>
          <w:color w:val="1A1A1A"/>
          <w:sz w:val="21"/>
          <w:szCs w:val="21"/>
        </w:rPr>
        <w:t xml:space="preserve">dreißig (30) Tage</w:t>
      </w:r>
      <w:r>
        <w:rPr>
          <w:rFonts w:ascii="Arial" w:cs="Arial" w:eastAsia="Arial" w:hAnsi="Arial"/>
          <w:b w:val="false"/>
          <w:bCs w:val="false"/>
          <w:i w:val="false"/>
          <w:iCs w:val="false"/>
          <w:color w:val="1A1A1A"/>
          <w:sz w:val="21"/>
          <w:szCs w:val="21"/>
        </w:rPr>
        <w:t xml:space="preserve"> lang einen vollständigen </w:t>
      </w:r>
      <w:r>
        <w:rPr>
          <w:rFonts w:ascii="Arial" w:cs="Arial" w:eastAsia="Arial" w:hAnsi="Arial"/>
          <w:b/>
          <w:bCs/>
          <w:i w:val="false"/>
          <w:iCs w:val="false"/>
          <w:color w:val="1A1A1A"/>
          <w:sz w:val="21"/>
          <w:szCs w:val="21"/>
        </w:rPr>
        <w:t xml:space="preserve">Export</w:t>
      </w:r>
      <w:r>
        <w:rPr>
          <w:rFonts w:ascii="Arial" w:cs="Arial" w:eastAsia="Arial" w:hAnsi="Arial"/>
          <w:b w:val="false"/>
          <w:bCs w:val="false"/>
          <w:i w:val="false"/>
          <w:iCs w:val="false"/>
          <w:color w:val="1A1A1A"/>
          <w:sz w:val="21"/>
          <w:szCs w:val="21"/>
        </w:rPr>
        <w:t xml:space="preserve"> bereit: strukturierte Daten als CSV/JSON und die in den Anwendungen abgelegten Dateien, insbesondere Belege als PDF und E-Rechnungen als XML, als gesondertes Paket. Der Kunde kann stattdessen die sofortige Löschung verlangen (Art. 28 Abs. 3 Satz 2 Buchst. g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Nach Ablauf der Frist oder nach bestätigtem Erhalt des Exports löscht NexAI alle Daten des Kunden in den eigenen Systemen und veranlasst die Löschung bei den Unterauftragsverarbeitern, soweit dort noch Daten liegen (etwa Assistenten, Gesprächsprotokolle, gespeicherte Zugänge). Zugangsschlüssel zu Konten des Kunden werden zusätzlich widerrufen.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In verschlüsselten Datensicherungen verbleiben Daten bis zum Ablauf der Rotation nach Anhang 3. Wird aus einer solchen Sicherung wiederhergestellt, zieht NexAI zwischenzeitlich erledigte Löschungen nach, einschließlich der Löschung der Daten ausgeschiedener Kunden.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übersendet nach Abschluss der Löschung unaufgefordert eine </w:t>
      </w:r>
      <w:r>
        <w:rPr>
          <w:rFonts w:ascii="Arial" w:cs="Arial" w:eastAsia="Arial" w:hAnsi="Arial"/>
          <w:b/>
          <w:bCs/>
          <w:i w:val="false"/>
          <w:iCs w:val="false"/>
          <w:color w:val="1A1A1A"/>
          <w:sz w:val="21"/>
          <w:szCs w:val="21"/>
        </w:rPr>
        <w:t xml:space="preserve">Löschbestätigung</w:t>
      </w:r>
      <w:r>
        <w:rPr>
          <w:rFonts w:ascii="Arial" w:cs="Arial" w:eastAsia="Arial" w:hAnsi="Arial"/>
          <w:b w:val="false"/>
          <w:bCs w:val="false"/>
          <w:i w:val="false"/>
          <w:iCs w:val="false"/>
          <w:color w:val="1A1A1A"/>
          <w:sz w:val="21"/>
          <w:szCs w:val="21"/>
        </w:rPr>
        <w:t xml:space="preserve"> in </w:t>
      </w:r>
      <w:r>
        <w:rPr>
          <w:rFonts w:ascii="Arial" w:cs="Arial" w:eastAsia="Arial" w:hAnsi="Arial"/>
          <w:b/>
          <w:bCs/>
          <w:i w:val="false"/>
          <w:iCs w:val="false"/>
          <w:color w:val="1A1A1A"/>
          <w:sz w:val="21"/>
          <w:szCs w:val="21"/>
        </w:rPr>
        <w:t xml:space="preserve">Textform</w:t>
      </w:r>
      <w:r>
        <w:rPr>
          <w:rFonts w:ascii="Arial" w:cs="Arial" w:eastAsia="Arial" w:hAnsi="Arial"/>
          <w:b w:val="false"/>
          <w:bCs w:val="false"/>
          <w:i w:val="false"/>
          <w:iCs w:val="false"/>
          <w:color w:val="1A1A1A"/>
          <w:sz w:val="21"/>
          <w:szCs w:val="21"/>
        </w:rPr>
        <w:t xml:space="preserve"> mit den gelöschten Systemen und dem Datum.</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Aufbewahrungspflichten des Kunden (insbesondere § 147 AO, § 14b UStG, § 257 HGB) erfüllt der Kunde mit dem Export nach Absatz (1). Eine Aufbewahrung durch NexAI über das Vertragsende hinaus erfolgt nur nach gesonderter Vereinbarung über Dauer, Zugriff und Vergütung.</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Beim NexAI Mailagent gehört zur Beendigung auch die Beendigung des Zugriffs auf die Postfächer des Kunden. Mit dem Ende der Leistungserbringung ruft NexAI aus den Postfächern des Kunden nichts mehr ab und versendet nichts mehr. NexAI löscht unverzüglich, spätestens binnen sieben Tagen, alle bei NexAI hinterlegten Zugangsmittel für die Postfächer des Kunden, insbesondere App-Passwörter und Erneuerungstoken, sowie eine für den Kunden eingerichtete Anwendungsregistrierung oder ein für ihn eingerichtetes Dienstkonto samt Geheimnis, und bestätigt dies in der Löschbestätigung nach Absatz (4) mit Zeitpunkt. Dasselbe gilt für ein einzelnes Postfach, sobald der Kunde dessen Anbindung in der Anwendung trennt oder es aus dem Auftragsformular streicht.</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Eine vom Kunden in seinem Konto beim Postfachanbieter erteilte Zustimmung oder Delegierung zugunsten einer Anwendung von NexAI bleibt bestehen, bis der Kunde sie dort entfernt; NexAI kann sie nicht entfernen. NexAI übermittelt dem Kunden mit der Löschbestätigung eine Anleitung zur Entfernung. Der Kunde entfernt die Zustimmung oder Delegierung unverzüglich nach Beendigung; bis dahin nutzt NexAI sie nicht.</w:t>
      </w:r>
    </w:p>
    <w:p>
      <w:pPr>
        <w:pStyle w:val="Heading1"/>
        <w:keepNext/>
        <w:spacing w:after="100" w:before="260"/>
      </w:pPr>
      <w:r>
        <w:rPr>
          <w:rFonts w:ascii="Arial" w:cs="Arial" w:eastAsia="Arial" w:hAnsi="Arial"/>
          <w:b/>
          <w:bCs/>
          <w:color w:val="1F3A8A"/>
          <w:sz w:val="24"/>
          <w:szCs w:val="24"/>
        </w:rPr>
        <w:t xml:space="preserve">§ 13  </w:t>
      </w:r>
      <w:r>
        <w:rPr>
          <w:rFonts w:ascii="Arial" w:cs="Arial" w:eastAsia="Arial" w:hAnsi="Arial"/>
          <w:b/>
          <w:bCs/>
          <w:i w:val="false"/>
          <w:iCs w:val="false"/>
          <w:color w:val="0B0B0F"/>
          <w:sz w:val="24"/>
          <w:szCs w:val="24"/>
        </w:rPr>
        <w:t xml:space="preserve">Nachweis- und Kontrollrechte (Audit)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stellt dem Kunden alle erforderlichen Informationen zum Nachweis der Einhaltung der Pflichten aus Art. 28 DSGVO zur Verfügung und ermöglicht Überprüfungen – einschließlich Inspektionen –, die vom Kunden oder einem von diesem beauftragten Prüfer durchgeführt werden, und trägt zu diesen bei (Art. 28 Abs. 3 lit. h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Nachweis kann durch geeignete Dokumentation, aktuelle Testate, Zertifizierungen oder Berichte unabhängiger Stellen erbracht werden. Reichen diese zur Ausräumung eines konkreten Prüfbedarfs nicht aus, kann der Kunde nach rechtzeitiger Vorankündigung (in der Regel mindestens vierzehn (14) Tage vorab) und zu üblichen Geschäftszeiten eine Vor-Ort-Prüfung durchführen, ohne den Betriebsablauf unverhältnismäßig zu beeinträchtigen und unter Wahrung der Vertraulichkeit sowie der Rechte Dritter.</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beauftragte Prüfer darf nicht in einem Wettbewerbsverhältnis zu NexAI stehen und ist zur Vertraulichkeit zu verpflichten.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Prüfungen, die über eine (1) reguläre Prüfung pro Jahr hinausgehen oder auf Verlangen des Kunden ohne konkreten Anlass erfolgen, kann NexAI den hierdurch entstehenden angemessenen Aufwand zu den üblichen Sätzen in Rechnung stellen. Prüfungen aus konkretem Anlass sowie die gesetzlich geschuldete Bereitstellung von Nachweisen bleiben hiervon unberührt.</w:t>
      </w:r>
    </w:p>
    <w:p>
      <w:pPr>
        <w:pStyle w:val="Heading1"/>
        <w:keepNext/>
        <w:spacing w:after="100" w:before="260"/>
      </w:pPr>
      <w:r>
        <w:rPr>
          <w:rFonts w:ascii="Arial" w:cs="Arial" w:eastAsia="Arial" w:hAnsi="Arial"/>
          <w:b/>
          <w:bCs/>
          <w:color w:val="1F3A8A"/>
          <w:sz w:val="24"/>
          <w:szCs w:val="24"/>
        </w:rPr>
        <w:t xml:space="preserve">§ 14  </w:t>
      </w:r>
      <w:r>
        <w:rPr>
          <w:rFonts w:ascii="Arial" w:cs="Arial" w:eastAsia="Arial" w:hAnsi="Arial"/>
          <w:b/>
          <w:bCs/>
          <w:i w:val="false"/>
          <w:iCs w:val="false"/>
          <w:color w:val="0B0B0F"/>
          <w:sz w:val="24"/>
          <w:szCs w:val="24"/>
        </w:rPr>
        <w:t xml:space="preserve">Datenschutzbeauftragter, Verzeichnis, Kontaktstelle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Datenschutzbeauftragter von NexAI ist [Name, Anschrift, E-Mail; Benennung nach § 38 Abs. 1 Satz 2 BDSG erforderlich]. Kontaktstelle für Datenschutzangelegenheiten und für Weisungen nach § 4 Abs. (2) ist mbt@nex-a-i.com; telefonische Anlaufstelle für Meldungen nach § 11.2 ist 0176 80714816.</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führt ein Verzeichnis aller Kategorien von im Auftrag durchgeführten Verarbeitungstätigkeiten (Art. 30 Abs. 2 DSGVO).</w:t>
      </w:r>
    </w:p>
    <w:p>
      <w:pPr>
        <w:spacing w:after="120"/>
      </w:pPr>
      <w:r>
        <w:rPr>
          <w:rFonts w:ascii="Arial" w:cs="Arial" w:eastAsia="Arial" w:hAnsi="Arial"/>
          <w:b/>
          <w:bCs/>
          <w:color w:val="1A1A1A"/>
          <w:sz w:val="21"/>
          <w:szCs w:val="21"/>
        </w:rPr>
        <w:t xml:space="preserve">Datenschutzkontakt des Kunden (Name, E-Mail): </w:t>
      </w:r>
      <w:r>
        <w:rPr>
          <w:rFonts w:ascii="Arial" w:cs="Arial" w:eastAsia="Arial" w:hAnsi="Arial"/>
          <w:color w:val="6B7280"/>
          <w:sz w:val="21"/>
          <w:szCs w:val="21"/>
          <w:u w:val="single"/>
        </w:rPr>
        <w:t xml:space="preserve">                                                </w:t>
      </w:r>
    </w:p>
    <w:p>
      <w:pPr>
        <w:pStyle w:val="Heading1"/>
        <w:keepNext/>
        <w:spacing w:after="100" w:before="260"/>
      </w:pPr>
      <w:r>
        <w:rPr>
          <w:rFonts w:ascii="Arial" w:cs="Arial" w:eastAsia="Arial" w:hAnsi="Arial"/>
          <w:b/>
          <w:bCs/>
          <w:color w:val="1F3A8A"/>
          <w:sz w:val="24"/>
          <w:szCs w:val="24"/>
        </w:rPr>
        <w:t xml:space="preserve">§ 15  </w:t>
      </w:r>
      <w:r>
        <w:rPr>
          <w:rFonts w:ascii="Arial" w:cs="Arial" w:eastAsia="Arial" w:hAnsi="Arial"/>
          <w:b/>
          <w:bCs/>
          <w:i w:val="false"/>
          <w:iCs w:val="false"/>
          <w:color w:val="0B0B0F"/>
          <w:sz w:val="24"/>
          <w:szCs w:val="24"/>
        </w:rPr>
        <w:t xml:space="preserve">Rollenmatrix nach Leistungsart</w:t>
      </w:r>
    </w:p>
    <w:p>
      <w:pPr>
        <w:spacing w:after="120" w:line="276"/>
        <w:jc w:val="both"/>
      </w:pPr>
      <w:r>
        <w:rPr>
          <w:rFonts w:ascii="Arial" w:cs="Arial" w:eastAsia="Arial" w:hAnsi="Arial"/>
          <w:b w:val="false"/>
          <w:bCs w:val="false"/>
          <w:i w:val="false"/>
          <w:iCs w:val="false"/>
          <w:color w:val="1A1A1A"/>
          <w:sz w:val="21"/>
          <w:szCs w:val="21"/>
        </w:rPr>
        <w:t xml:space="preserve">Die datenschutzrechtliche Rolle von NexAI richtet sich nach der jeweils beauftragten Leistung. Die im Auftragsformular je Leistung getroffene Zuordnung ist maßgeblich; im Zweifel gilt die nachstehende Matrix:</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3135"/>
        <w:gridCol w:w="3135"/>
        <w:gridCol w:w="3135"/>
      </w:tblGrid>
      <w:tr>
        <w:trPr>
          <w:tblHeader/>
        </w:trPr>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Leistung / Agent</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Rolle NexAI</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Rechtsrahmen</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Voice Agent (eingehend)</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Voice Agent (ausgehend, vom Kunden veranlasste Ansprache)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 die Zulässigkeit der Ansprache verantwortet der Kunde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 § 15 des Rahmenvertrages</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Chat 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Automatisierungen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Individuelle KI-Agenten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CRM</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App / individuelle Anwendungen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Anwendungen als Kauflizenz (Betrieb beim Kunden)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 nur bei Wartungs- und Supportzugriffen; im Übrigen keine Verarbeitung durch NexAI</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 Anlage E</w:t>
            </w:r>
          </w:p>
        </w:tc>
      </w:tr>
    </w:tbl>
    <w:p>
      <w:pPr>
        <w:spacing w:after="120"/>
      </w:pPr>
      <w:r>
        <w:rPr>
          <w:sz w:val="2"/>
          <w:szCs w:val="2"/>
        </w:rPr>
        <w:t xml:space="preserve"/>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verarbeitet die in den Anwendungen gespeicherten Daten ausschließlich weisungsgebunden für den Kunden und nicht für eigene Zwecke. Eine Recherche oder Beschaffung von Kontaktdaten durch NexAI ist nicht Gegenstand der Leistungen (Anlage A, Ziffer 14).</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Setzt der Kunde einen Agenten für ausgehende Ansprache oder Direktwerbung ein, bleibt NexAI Auftragsverarbeiter; die Rechtmäßigkeit der Ansprache und die Erfüllung der Informationspflichten nach Art. 13 und 14 DSGVO verantwortet der Kunde (§ 15 des Rahmenvertrages).</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Klarstellung in § 1 Abs. 5 (eigene Verantwortlichkeit von NexAI) bleibt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Beim NexAI Mailagent verarbeitet NexAI die Korrespondenz des Kunden ausschließlich weisungsgebunden. Der Kunde verantwortet die Rechtsgrundlage für das Lesen, Auswerten und Aufbewahren der Korrespondenz sowie die Information der betroffenen Personen; NexAI stellt die dafür erforderlichen Angaben bereit. NexAI verwendet Inhalte der Korrespondenz weder zur Verbesserung der Anwendung noch für andere Kunden. Mitarbeiter von NexAI greifen auf Inhalte der Korrespondenz nur zu, soweit es zur Behebung einer Störung erforderlich ist; NexAI dokumentiert jeden solchen Zugriff mit Anlass.</w:t>
      </w:r>
    </w:p>
    <w:p>
      <w:pPr>
        <w:pStyle w:val="Heading1"/>
        <w:keepNext/>
        <w:spacing w:after="100" w:before="260"/>
      </w:pPr>
      <w:r>
        <w:rPr>
          <w:rFonts w:ascii="Arial" w:cs="Arial" w:eastAsia="Arial" w:hAnsi="Arial"/>
          <w:b/>
          <w:bCs/>
          <w:color w:val="1F3A8A"/>
          <w:sz w:val="24"/>
          <w:szCs w:val="24"/>
        </w:rPr>
        <w:t xml:space="preserve">§ 16  </w:t>
      </w:r>
      <w:r>
        <w:rPr>
          <w:rFonts w:ascii="Arial" w:cs="Arial" w:eastAsia="Arial" w:hAnsi="Arial"/>
          <w:b/>
          <w:bCs/>
          <w:i w:val="false"/>
          <w:iCs w:val="false"/>
          <w:color w:val="0B0B0F"/>
          <w:sz w:val="24"/>
          <w:szCs w:val="24"/>
        </w:rPr>
        <w:t xml:space="preserve">Haftung und Innenausgleich</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Für die Haftung im Außenverhältnis gegenüber betroffenen Personen gilt Art. 82 DSGVO. Im Innenverhältnis tragen die Parteien einen etwaigen Schaden bzw. eine Geldbuße nach dem </w:t>
      </w:r>
      <w:r>
        <w:rPr>
          <w:rFonts w:ascii="Arial" w:cs="Arial" w:eastAsia="Arial" w:hAnsi="Arial"/>
          <w:b/>
          <w:bCs/>
          <w:i w:val="false"/>
          <w:iCs w:val="false"/>
          <w:color w:val="1A1A1A"/>
          <w:sz w:val="21"/>
          <w:szCs w:val="21"/>
        </w:rPr>
        <w:t xml:space="preserve">Maß ihres jeweiligen Verantwortungsanteils</w:t>
      </w:r>
      <w:r>
        <w:rPr>
          <w:rFonts w:ascii="Arial" w:cs="Arial" w:eastAsia="Arial" w:hAnsi="Arial"/>
          <w:b w:val="false"/>
          <w:bCs w:val="false"/>
          <w:i w:val="false"/>
          <w:iCs w:val="false"/>
          <w:color w:val="1A1A1A"/>
          <w:sz w:val="21"/>
          <w:szCs w:val="21"/>
        </w:rPr>
        <w:t xml:space="preserve"> an dem zugrunde liegenden Verstoß (Art. 82 Abs. 5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Hat eine Partei an eine betroffene Person Schadensersatz geleistet, der über ihren Verantwortungsanteil hinausgeht, kann sie von der anderen Partei den auf deren Anteil entfallenden Teil zurückfordern.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übrigen Haftungsregelungen des Rahmenvertrags (dort § Haftung/Haftungsbeschränkung) gelten für das Verhältnis der Parteien untereinander ergänzend, soweit sie zwingendem Datenschutzrecht nicht entgegenstehen.</w:t>
      </w:r>
    </w:p>
    <w:p>
      <w:pPr>
        <w:pStyle w:val="Heading1"/>
        <w:keepNext/>
        <w:spacing w:after="100" w:before="260"/>
      </w:pPr>
      <w:r>
        <w:rPr>
          <w:rFonts w:ascii="Arial" w:cs="Arial" w:eastAsia="Arial" w:hAnsi="Arial"/>
          <w:b/>
          <w:bCs/>
          <w:color w:val="1F3A8A"/>
          <w:sz w:val="24"/>
          <w:szCs w:val="24"/>
        </w:rPr>
        <w:t xml:space="preserve">§ 17  </w:t>
      </w:r>
      <w:r>
        <w:rPr>
          <w:rFonts w:ascii="Arial" w:cs="Arial" w:eastAsia="Arial" w:hAnsi="Arial"/>
          <w:b/>
          <w:bCs/>
          <w:i w:val="false"/>
          <w:iCs w:val="false"/>
          <w:color w:val="0B0B0F"/>
          <w:sz w:val="24"/>
          <w:szCs w:val="24"/>
        </w:rPr>
        <w:t xml:space="preserve">Schlussbestimmungen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Änderungen und Ergänzungen dieses AVV bedürfen der Textform. Dies gilt auch für die Aufhebung dieses Textformerfordernisses. Vorrangige Individualabreden (§ 305b BGB) bleiben unberührt.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Sollte eine Bestimmung dieses AVV unwirksam sein oder werden, bleibt die Wirksamkeit der übrigen Bestimmungen unberührt.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Es gilt das Recht der Bundesrepublik Deutschland unter Ausschluss des UN-Kaufrechts. Ausschließlicher Gerichtsstand für alle Streitigkeiten aus oder im Zusammenhang mit diesem AVV ist – soweit gesetzlich zulässig – der Sitz von NexAI.</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Anhänge 1 (TOM), 2 (Unterauftragsverarbeiter) und 3 (Speicher- und Löschfristen) sind Bestandteil dieses AVV.</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Anhang 1  </w:t>
      </w:r>
      <w:r>
        <w:rPr>
          <w:rFonts w:ascii="Arial" w:cs="Arial" w:eastAsia="Arial" w:hAnsi="Arial"/>
          <w:b/>
          <w:bCs/>
          <w:i w:val="false"/>
          <w:iCs w:val="false"/>
          <w:color w:val="0B0B0F"/>
          <w:sz w:val="24"/>
          <w:szCs w:val="24"/>
        </w:rPr>
        <w:t xml:space="preserve">Technische und organisatorische Maßnahmen (Art. 32 DSGVO)</w:t>
      </w:r>
    </w:p>
    <w:p>
      <w:pPr>
        <w:spacing w:after="120" w:line="276"/>
        <w:jc w:val="both"/>
      </w:pPr>
      <w:r>
        <w:rPr>
          <w:rFonts w:ascii="Arial" w:cs="Arial" w:eastAsia="Arial" w:hAnsi="Arial"/>
          <w:b w:val="false"/>
          <w:bCs w:val="false"/>
          <w:i w:val="false"/>
          <w:iCs w:val="false"/>
          <w:color w:val="1A1A1A"/>
          <w:sz w:val="21"/>
          <w:szCs w:val="21"/>
        </w:rPr>
        <w:t xml:space="preserve">Die Maßnahmen gelten für die Systeme, die NexAI selbst betreibt. Bei Anwendungen, die der Kunde als Kauflizenz selbst betreibt, trifft der Kunde die Maßnahmen für seine Infrastruktur (Anlage E).</w:t>
      </w:r>
    </w:p>
    <w:p>
      <w:pPr>
        <w:pStyle w:val="Heading2"/>
        <w:keepNext/>
        <w:spacing w:after="80" w:before="160"/>
      </w:pPr>
      <w:r>
        <w:rPr>
          <w:rFonts w:ascii="Arial" w:cs="Arial" w:eastAsia="Arial" w:hAnsi="Arial"/>
          <w:b/>
          <w:bCs/>
          <w:i w:val="false"/>
          <w:iCs w:val="false"/>
          <w:color w:val="0B0B0F"/>
          <w:sz w:val="21"/>
          <w:szCs w:val="21"/>
        </w:rPr>
        <w:t xml:space="preserve">1. Für alle Systeme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Betrieb der von NexAI selbst betriebenen Systeme auf Servern der Hetzner Online GmbH in Rechenzentren in Deutschland;</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Übertragung personenbezogener Daten ausschließlich verschlüsselt (TLS);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Serverzugang nur für die Gesellschafter [per SSH-Schlüssel – bestätigen];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Zugänge zu den Verwaltungsoberflächen der Unterauftragsverarbeiter mit Zwei-Faktor-Anmeldung [bestätigen je Dienst];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rollenbasierte, auf das Erforderliche beschränkte Berechtigungen; Entzug nicht mehr benötigter Berechtigungen;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logische Trennung der Datenbestände je Kunde; keine kundenübergreifende Zusammenführung;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Überprüfung der Maßnahmen mindestens jährlich und bei jeder wesentlichen Änderung.</w:t>
      </w:r>
    </w:p>
    <w:p>
      <w:pPr>
        <w:pStyle w:val="Heading2"/>
        <w:keepNext/>
        <w:spacing w:after="80" w:before="160"/>
      </w:pPr>
      <w:r>
        <w:rPr>
          <w:rFonts w:ascii="Arial" w:cs="Arial" w:eastAsia="Arial" w:hAnsi="Arial"/>
          <w:b/>
          <w:bCs/>
          <w:i w:val="false"/>
          <w:iCs w:val="false"/>
          <w:color w:val="0B0B0F"/>
          <w:sz w:val="21"/>
          <w:szCs w:val="21"/>
        </w:rPr>
        <w:t xml:space="preserve">2. NexAI CRM (bei Betrieb durch NexAI)</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Trennung der Mandanten in der Datenbank durch Zeilensicherheit je Mandant; die Anwendung arbeitet mit einer Datenbankrolle ohne Administratorrechte;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Passwörter als argon2id-Prüfsumme; Sitzungen serverseitig, Sitzungskennung nur als Abdruck, Ablauf nach 12 Stunden; Zwei-Faktor-Anmeldung, für Administratoren verpflichtend;</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AES-256-GCM-Feldverschlüsselung für Gesprächsmitschriften, Zugangsschlüssel angebundener Konten und Zwei-Faktor-Geheimnisse; übrige Inhalte liegen unverschlüsselt in der Datenbank;</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Änderungsprotokoll, das die Anwendung weder ändern noch löschen kann; Ziele ausgehender Webhooks gegen interne Adressen gesperrt;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tägliche, verschlüsselte Sicherung der Datenbank; aufbewahrt werden die jeweils letzten 30 Sicherungen; die Sicherungen liegen derzeit auf dem Server, auf dem das CRM betrieben wird, und schützen nicht gegen einen Totalverlust dieses Servers [setzt voraus für eine Sicherung auf einem getrennten System: Auslagerung auf ein getrenntes System in Deutschland und monatliche automatische Rückspielprobe].</w:t>
      </w:r>
    </w:p>
    <w:p>
      <w:pPr>
        <w:pStyle w:val="Heading2"/>
        <w:keepNext/>
        <w:spacing w:after="80" w:before="160"/>
      </w:pPr>
      <w:r>
        <w:rPr>
          <w:rFonts w:ascii="Arial" w:cs="Arial" w:eastAsia="Arial" w:hAnsi="Arial"/>
          <w:b/>
          <w:bCs/>
          <w:i w:val="false"/>
          <w:iCs w:val="false"/>
          <w:color w:val="0B0B0F"/>
          <w:sz w:val="21"/>
          <w:szCs w:val="21"/>
        </w:rPr>
        <w:t xml:space="preserve">3. NexAI Kalender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Passwörter als bcrypt-Prüfsumme, Sitzungskennung nur als Abdruck, Begrenzung der Anmeldeversuche, Zwei-Faktor-Anmeldung mit Wiederherstellungscodes verfügbar;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Belege durch Datenbankauslöser gegen Änderung und Löschung gesperrt; täglicher Löschlauf (Anhang 3);</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nächtliche, verschlüsselte Sicherung auf einen zweiten, vom Produktivsystem getrennten Server; aufbewahrt werden die jeweils letzten 30 Sicherungen; vor dem Verschlüsseln wird jeder Abzug probeweise in eine leere Datenbank eingespielt und Tabelle für Tabelle nachgezählt [Server je Kunde und Sicherung für die Instanz des Kunden – bestätigen].</w:t>
      </w:r>
    </w:p>
    <w:p>
      <w:pPr>
        <w:pStyle w:val="Heading2"/>
        <w:keepNext/>
        <w:spacing w:after="80" w:before="160"/>
      </w:pPr>
      <w:r>
        <w:rPr>
          <w:rFonts w:ascii="Arial" w:cs="Arial" w:eastAsia="Arial" w:hAnsi="Arial"/>
          <w:b/>
          <w:bCs/>
          <w:i w:val="false"/>
          <w:iCs w:val="false"/>
          <w:color w:val="0B0B0F"/>
          <w:sz w:val="21"/>
          <w:szCs w:val="21"/>
        </w:rPr>
        <w:t xml:space="preserve">4. NexAI Mailagent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je Kunde eigener Prozess, eigene mit SQLCipher verschlüsselte Datenbank, eigener Schlüssel und eigener Datenordner;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Anmeldung mit Passwort und zweitem Faktor; der zweite Faktor ist für Personen mit der Rolle Verwaltung verpflichtend und für alle übrigen Personen verfügbar;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Versand nur nach Freigabe durch einen Menschen, Ausnahme nur der vereinbarte selbsttätige Versand (Anlage A Ziffer 5.4 Abs. (1)); Vier-Augen-Freigabe nach den vereinbarten Schwellen; verkettetes Freigabeprotokoll; Inhalte eingehender Nachrichten werden nie als Anweisung ausgeführt;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täglicher Löschlauf nach Anhang 3 [setzt voraus: Löschlauf in der Instanz des Kunden scharf geschaltet];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nächtliche, verschlüsselte Sicherung auf einen zweiten, vom Produktivsystem getrennten Server; aufbewahrt werden die jeweils letzten 14 Sicherungen [setzt voraus: Sicherung für die Instanz des Kunden eingerichtet; heute nur für die NexAI-eigene Instanz].</w:t>
      </w:r>
    </w:p>
    <w:p>
      <w:pPr>
        <w:pStyle w:val="Heading2"/>
        <w:keepNext/>
        <w:spacing w:after="80" w:before="160"/>
      </w:pPr>
      <w:r>
        <w:rPr>
          <w:rFonts w:ascii="Arial" w:cs="Arial" w:eastAsia="Arial" w:hAnsi="Arial"/>
          <w:b/>
          <w:bCs/>
          <w:i w:val="false"/>
          <w:iCs w:val="false"/>
          <w:color w:val="0B0B0F"/>
          <w:sz w:val="21"/>
          <w:szCs w:val="21"/>
        </w:rPr>
        <w:t xml:space="preserve">5. Agenten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Tonaufzeichnung beim Plattformanbieter des Voice Agent abgeschaltet [setzt voraus: auch der Verbindungsmitschnitt (SIP/pcap) abgeschaltet]; Gesprächsprotokolle beim Plattformanbieter nach Anhang 3;</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Automatisierungen auf selbst betriebenem n8n bei Hetzner; Zugangsdaten zu Kundendiensten dort verschlüsselt gespeichert;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Sprachmodelle vertraglich ohne Training.</w:t>
      </w:r>
    </w:p>
    <w:p>
      <w:pPr>
        <w:pStyle w:val="Heading2"/>
        <w:keepNext/>
        <w:spacing w:after="80" w:before="160"/>
      </w:pPr>
      <w:r>
        <w:rPr>
          <w:rFonts w:ascii="Arial" w:cs="Arial" w:eastAsia="Arial" w:hAnsi="Arial"/>
          <w:b/>
          <w:bCs/>
          <w:i w:val="false"/>
          <w:iCs w:val="false"/>
          <w:color w:val="0B0B0F"/>
          <w:sz w:val="21"/>
          <w:szCs w:val="21"/>
        </w:rPr>
        <w:t xml:space="preserve">6. Anmeldung des NexAI Mailagent an den Postfächern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Anmeldung erfolgt mit einem vom Kunden bereitgestellten Anwendungspasswort oder, soweit NexAI es für den Postfachanbieter bereitstellt, über dessen Anmeldeverfahren (OAuth 2.0) durch Anmeldung einer berechtigten Person oder Zustimmung eines Administrators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Anwendungspasswörter und Erneuerungstoken liegen verschlüsselt in der Datenbank der Instanz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für jeden Kunden verwendet NexAI eine eigene Anwendungsregistrierung bzw. ein eigenes Dienstkonto mit eigenem Geheimnis [setzt voraus: je Kunde eingerichtet];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der Zugriff ist auf die im Auftragsformular benannten Postfächer beschränkt; bei Microsoft 365 berechtigt der Administrator des Kunden jedes Postfach einzeln; bei der domänenweiten Delegierung von Google erfasst die Berechtigung technisch alle Nutzer der Domäne, die Anwendung fordert Zugriff nur für die benannten Postfächer an;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Erteilung, Umfang und Entfernung der Berechtigung im Konto des Kunden liegen beim Kunden; NexAI stellt dafür eine Anleitung bereit.</w:t>
      </w:r>
    </w:p>
    <w:p>
      <w:pPr>
        <w:pStyle w:val="Heading2"/>
        <w:keepNext/>
        <w:spacing w:after="80" w:before="160"/>
      </w:pPr>
      <w:r>
        <w:rPr>
          <w:rFonts w:ascii="Arial" w:cs="Arial" w:eastAsia="Arial" w:hAnsi="Arial"/>
          <w:b/>
          <w:bCs/>
          <w:i w:val="false"/>
          <w:iCs w:val="false"/>
          <w:color w:val="0B0B0F"/>
          <w:sz w:val="21"/>
          <w:szCs w:val="21"/>
        </w:rPr>
        <w:t xml:space="preserve">7. Organisation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Verpflichtung der beteiligten Personen auf Vertraulichkeit;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vertragliche Bindung der Unterauftragsverarbeiter auf entsprechende Schutzpflichten;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dokumentierte Weisungslage; Verzeichnis der Verarbeitungstätigkeiten (Art. 30 Abs. 2 DSGVO).</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Anhang 2  </w:t>
      </w:r>
      <w:r>
        <w:rPr>
          <w:rFonts w:ascii="Arial" w:cs="Arial" w:eastAsia="Arial" w:hAnsi="Arial"/>
          <w:b/>
          <w:bCs/>
          <w:i w:val="false"/>
          <w:iCs w:val="false"/>
          <w:color w:val="0B0B0F"/>
          <w:sz w:val="24"/>
          <w:szCs w:val="24"/>
        </w:rPr>
        <w:t xml:space="preserve">Unterauftragsverarbeiter</w:t>
      </w:r>
    </w:p>
    <w:p>
      <w:pPr>
        <w:spacing w:after="120" w:line="276"/>
        <w:jc w:val="both"/>
      </w:pPr>
      <w:r>
        <w:rPr>
          <w:rFonts w:ascii="Arial" w:cs="Arial" w:eastAsia="Arial" w:hAnsi="Arial"/>
          <w:b w:val="false"/>
          <w:bCs w:val="false"/>
          <w:i w:val="false"/>
          <w:iCs w:val="false"/>
          <w:color w:val="1A1A1A"/>
          <w:sz w:val="21"/>
          <w:szCs w:val="21"/>
        </w:rPr>
        <w:t xml:space="preserve">Die folgenden Unterauftragsverarbeiter sind zum Zeitpunkt des Vertragsschlusses eingesetzt und werden vom Kunden allgemein genehmigt (§ 9). Der konkrete Einsatz richtet sich nach den beauftragten Agenten und Anwendungen. Nicht bei jedem Kunden kommen sämtliche Dienste zum Einsatz.</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1881"/>
        <w:gridCol w:w="1881"/>
        <w:gridCol w:w="1881"/>
        <w:gridCol w:w="1881"/>
        <w:gridCol w:w="1881"/>
      </w:tblGrid>
      <w:tr>
        <w:trPr>
          <w:tblHeader/>
        </w:trPr>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Name</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Sitz / Land</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Leistung</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Datenkategorien</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Transfermechanismus</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Hetzner Online GmbH</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Industriestraße 25, 91710 Gunzenhausen; Rechenzentren in Deutschland</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Hosting und Betrieb der von NexAI selbst betriebenen Systeme (Automatisierungen/n8n, NexAI CRM bei Betrieb durch NexAI, NexAI Kalender, NexAI Mailagent einschließlich nächtlicher verschlüsselter Sicherung, NexAI App) und Ablage der Sicherungen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je nach Leistung: Kontakt-, Vorgangs-, Termin-, Aufgaben-, Beleg- und Protokolldaten; beim NexAI Mailagent zusätzlich gespiegelte Nachrichten samt Anhängen, Entwürfe, Freigabeprotokoll und Anmeldedaten der Nutzer des Kunden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Drittland; AVV nach Art. 28 DSGVO</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Vapi, Inc.</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San Francisco, USA [Postanschrift laut Vapi-DPA]</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Gesprächssteuerung, Telefonie-Orchestrierung, Sprachausgabe (Voice Agent)</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Gesprächsinhalte, Metadaten, Rufnummern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DPF; EU-SCC Modul 3 + Zusatzmaßnahmen + TIA; Liste weiterer Auftragsverarbeiter: security.vapi.ai</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Soniox, Inc.</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1045 Helm Ln, Foster City, CA 94404, USA</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Spracherkennung als Unterauftragsverarbeiter von Vapi (Voice Agent)</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Audio-/Sprachdaten, daraus erzeugte Wortprotokolle, Metadaten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DPF; Weiterübermittlung im Rahmen der SCC zwischen NexAI und Vapi und des Vertrags zwischen Vapi und Soniox</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OpenAI Ireland Limited (Vertragspartner); OpenAI, L.L.C., USA</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1st Floor, The Liffey Trust Centre, 117–126 Sheriff Street Upper, Dublin 1, D01 YC43, Irland; OpenAI, L.L.C., San Francisco, USA [Anschrift prüfen]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Sprachmodell (Chat Agent, Automatisierungen; Voice Agent, soweit über das Konto von NexAI)</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Gesprächs- und Textinhalte, Metadaten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DPF; Weiterübermittlung an OpenAI, L.L.C. auf Grundlage der EU-SCC; vertraglich kein Training; Speicherung bis 30 Tage zur Missbrauchserkennung (Anhang 3)</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Anthropic Ireland, Limited (Vertragspartner); Anthropic, PBC, USA (konzerninterner weiterer Auftragsverarbeiter)</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6th Floor, South Bank House, Barrow Street, Dublin 4, D04 TR29, Irland; Verarbeitung durch Anthropic, PBC in den USA und in Rechenzentren von Google Cloud, Amazon Web Services und Microsoft Azure (Ort laut Anthropic: weltweit)</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Sprachmodell im NexAI Mailagent (Einstufung, Antwortentwürfe, Übersetzung, Zusammenfassung verlinkter Seiten)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Inhalte eingehender und gesendeter Nachrichten samt Anhängen, Metadaten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DPF (geprüft 17.10.2026); Übermittlung in die USA auf Grundlage der EU-SCC nach dem Anthropic-DPA + Zusatzmaßnahmen + TIA; vertraglicher Ausschluss des Trainings; Liste: trust.anthropic.com/subprocessors</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Amazon Web Services EMEA SARL (Vertragspartner); Amazon Web Services, Inc. (Partei des AWS-DPA)</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38 Avenue John F. Kennedy, L-1855 Luxemburg; Amazon Web Services, Inc., 410 Terry Avenue North, Seattle, WA 98109-5210, USA. Verarbeitung ausschließlich in AWS-Rechenzentren in Mitgliedstaaten der EU über das geografische EU-Inferenzprofil von Amazon Bedrock</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Sprachmodelle (Claude, Hersteller Anthropic) über Amazon Bedrock im NexAI Mailagent; eingesetzt erst nach Freischaltung und Mitteilung nach § 9 Abs. (2); der Modellhersteller erhält keine 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Inhalte eingehender und gesendeter Nachrichten samt Anhängen, Metadaten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keine Drittlandübermittlung vorgesehen; für Zugriffe aus Drittländern im Ausnahmefall EU-SCC Modul 3 nach dem AWS-DPA; Amazon Web Services, Inc. DPF-zertifiziert (geprüft 17.10.2026); Liste: aws.amazon.com/compliance/sub-processors</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Google Ireland Limited; Google LLC</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Gordon House, Barrow Street, Dublin 4, Irland; 1600 Amphitheatre Parkway, Mountain View, CA 94043, USA</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nur soweit NexAI für den Kunden Google-Dienste unter eigenem Konto einsetzt (Versand von Bestätigungen, Kalender) [Einsatz klären]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Termin-, Kontakt-, Vorgangsdaten, Metadaten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DPF (Google LLC), ergänzend EU-SCC</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Plus Five Five, Inc. (Resend)</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2261 Market Street #5039, San Francisco, CA 94114, USA; Versand aus der EU-Region (Irland)</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Versand von System-E-Mails aus den Anwendungen (Bestätigungen, Erinnerungen, Benachrichtigungen)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E-Mail-Adresse, Name, Inhalt der Nachricht</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DPF; ergänzend EU-SCC Modul 3 im Resend-DPA</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seven communications GmbH &amp; Co. KG</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Willestraße 4–6, 24103 Kiel</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Versand von SMS (Kalender, CRM); nur bei beauftragtem SMS-Versand</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Rufnummer der Empfängerin bzw. des Empfängers, Inhalt der Nachricht</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Drittland; AVV nach Art. 28 DSGVO</w:t>
            </w:r>
          </w:p>
        </w:tc>
      </w:tr>
    </w:tbl>
    <w:p>
      <w:pPr>
        <w:spacing w:after="12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Die aufgeführten Unterauftragsverarbeiter setzen ihrerseits weitere Auftragsverarbeiter ein, insbesondere Konzerngesellschaften und Rechenzentrumsbetreiber; maßgeblich sind deren veröffentlichte Listen (Spalte Transfermechanismus). Diese weiteren Auftragsverarbeiter sind von der Genehmigung nach § 9 Abs. (1) umfasst; für ihre Änderung gilt § 9 Abs. (3).</w:t>
      </w:r>
    </w:p>
    <w:p>
      <w:pPr>
        <w:spacing w:after="120" w:line="276"/>
        <w:jc w:val="both"/>
      </w:pPr>
      <w:r>
        <w:rPr>
          <w:rFonts w:ascii="Arial" w:cs="Arial" w:eastAsia="Arial" w:hAnsi="Arial"/>
          <w:b/>
          <w:bCs/>
          <w:i w:val="false"/>
          <w:iCs w:val="false"/>
          <w:color w:val="1A1A1A"/>
          <w:sz w:val="21"/>
          <w:szCs w:val="21"/>
        </w:rPr>
        <w:t xml:space="preserve">Empfänger ohne Auftragsverarbeitung (Telekommunikation, § 9 Abs. (6)):</w:t>
      </w:r>
      <w:r>
        <w:rPr>
          <w:rFonts w:ascii="Arial" w:cs="Arial" w:eastAsia="Arial" w:hAnsi="Arial"/>
          <w:b w:val="false"/>
          <w:bCs w:val="false"/>
          <w:i w:val="false"/>
          <w:iCs w:val="false"/>
          <w:color w:val="1A1A1A"/>
          <w:sz w:val="21"/>
          <w:szCs w:val="21"/>
        </w:rPr>
        <w:t xml:space="preserve"> easybell GmbH, Brückenstraße 5a, 10179 Berlin – SIP-Anschluss, sofern so eingerichtet; Deutschland.</w:t>
      </w:r>
    </w:p>
    <w:p>
      <w:pPr>
        <w:spacing w:after="120" w:line="276"/>
        <w:jc w:val="both"/>
      </w:pPr>
      <w:r>
        <w:rPr>
          <w:rFonts w:ascii="Arial" w:cs="Arial" w:eastAsia="Arial" w:hAnsi="Arial"/>
          <w:b/>
          <w:bCs/>
          <w:i w:val="false"/>
          <w:iCs w:val="false"/>
          <w:color w:val="1A1A1A"/>
          <w:sz w:val="21"/>
          <w:szCs w:val="21"/>
        </w:rPr>
        <w:t xml:space="preserve">Keine Unterauftragsverarbeiter von NexAI</w:t>
      </w:r>
      <w:r>
        <w:rPr>
          <w:rFonts w:ascii="Arial" w:cs="Arial" w:eastAsia="Arial" w:hAnsi="Arial"/>
          <w:b w:val="false"/>
          <w:bCs w:val="false"/>
          <w:i w:val="false"/>
          <w:iCs w:val="false"/>
          <w:color w:val="1A1A1A"/>
          <w:sz w:val="21"/>
          <w:szCs w:val="21"/>
        </w:rPr>
        <w:t xml:space="preserve"> (vom Kunden selbst beauftragt; NexAI greift nur auf Weisung zu): Postfach- und Kalenderanbieter des Kunden (z. B. Google, Microsoft, andere IMAP-Anbieter), vom Kunden eingetragene Rückruf-Adressen und Kalender-Abos sowie die eigenen Systeme des Kunden einschließlich seiner Infrastruktur bei der Kauflizenz.</w:t>
      </w:r>
    </w:p>
    <w:p>
      <w:pPr>
        <w:spacing w:after="120"/>
      </w:pPr>
      <w:r>
        <w:rPr>
          <w:rFonts w:ascii="Arial" w:cs="Arial" w:eastAsia="Arial" w:hAnsi="Arial"/>
          <w:b/>
          <w:bCs/>
          <w:color w:val="1A1A1A"/>
          <w:sz w:val="21"/>
          <w:szCs w:val="21"/>
        </w:rPr>
        <w:t xml:space="preserve">Ergänzende / abweichende Subunternehmer (kundenspezifisch):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Sitzangaben und Transfermechanismen können sich ändern; maßgeblich ist die jeweils aktuelle, dem Kunden nach § 9 Abs. (2) mitgeteilte Fassung. Angaben in eckigen Klammern sind vor Verwendung zu prüfen bzw. zu ergänzen.</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Anhang 3  </w:t>
      </w:r>
      <w:r>
        <w:rPr>
          <w:rFonts w:ascii="Arial" w:cs="Arial" w:eastAsia="Arial" w:hAnsi="Arial"/>
          <w:b/>
          <w:bCs/>
          <w:i w:val="false"/>
          <w:iCs w:val="false"/>
          <w:color w:val="0B0B0F"/>
          <w:sz w:val="24"/>
          <w:szCs w:val="24"/>
        </w:rPr>
        <w:t xml:space="preserve">Speicher- und Löschfristen</w:t>
      </w:r>
    </w:p>
    <w:p>
      <w:pPr>
        <w:spacing w:after="120" w:line="276"/>
        <w:jc w:val="both"/>
      </w:pPr>
      <w:r>
        <w:rPr>
          <w:rFonts w:ascii="Arial" w:cs="Arial" w:eastAsia="Arial" w:hAnsi="Arial"/>
          <w:b w:val="false"/>
          <w:bCs w:val="false"/>
          <w:i w:val="false"/>
          <w:iCs w:val="false"/>
          <w:color w:val="1A1A1A"/>
          <w:sz w:val="21"/>
          <w:szCs w:val="21"/>
        </w:rPr>
        <w:t xml:space="preserve">Stand Oktober 2026. Die Fristen der Anwendungen stammen aus dem Code, der löscht; die Fristen bei Diensten aus deren Bedingungen bzw. der Einstellung bei NexAI. „Vorgabe“ heißt: gilt, solange der Kunde in der Anwendung oder im Auftragsformular nichts anderes bestimmt.</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3135"/>
        <w:gridCol w:w="3135"/>
        <w:gridCol w:w="3135"/>
      </w:tblGrid>
      <w:tr>
        <w:trPr>
          <w:tblHeader/>
        </w:trPr>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System</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Daten</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Frist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Voice Agent (Plattformanbieter Vapi)</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technisches Gesprächsprotokoll</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bis zu [14] Tage beim Anbieter; Anrufübersicht mit Rufnummern: [Frist beim Anbieter klären]</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Chat Agent, Automatisierungen, Voice Agent (OpenAI)</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Ein- und Ausgaben des Sprachmodells</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bis zu 30 Tage beim Anbieter zur Missbrauchserkennung, solange keine Null-Speicherung vereinbart ist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Automatisierungen (n8n)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Ausführungsprotokolle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höchstens 6 Monate [setzt voraus: Aufbewahrung der Ausführungsdaten in n8n entsprechend eingestellt]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 (Anthropic)</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Ein- und Ausgaben des Sprachmodells</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[Dauer laut Bedingungen des Anbieters prüfen]</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CRM</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Kontakte, Leads, Termine, Anrufe, Notizen, Mails, Anhänge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Löschregel je Datenart, vom Kunden im Datenschutz-Center gesetzt; ohne Regel keine automatische Löschung</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CRM</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Gesprächsmitschriften aus dem Voice 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bei der Übergabe wählbar (24 Stunden, 7 oder 30 Tage); ohne Wahl keine automatische Löschung</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CRM</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Änderungsprotokoll</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12 Monate; Einträge zu Auskunfts- und Löschanträgen bis zum Ende des dritten Jahres nach dem Eintragsjahr; Einträge zur Abrechnung bis zum Ende des zehnten Jahres</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CRM</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festgeschriebene Belege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unveränderbar bis Vertragsende, danach § 12</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Stammdaten der Kundschaft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Anonymisierung 24 Monate nach dem letzten Termin (Vorgabe, je Betrieb einstellbar)</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Zähler gegen Missbrauch (mit IP-Adresse)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7 Tage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Änderungsprotokoll</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24 Monate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Nachrichtenausgang (versandte SMS und E-Mails)</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6 Monate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Belege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acht Jahre ab Schluss des Kalenderjahres des Belegs, danach Löschung</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Terminumfragen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30 Tage nach der Entscheidung bzw. nach dem letzten Vorschlag</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Urlaub und Abwesenheiten des Personals</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genehmigte drei Jahre nach ihrem Ende, abgelehnte und zurückgezogene 6 Monate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Nachrichten samt Auswertung</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Vorgabe 180 Tage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Anhänge; verworfene Entwürfe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Vorgabe je 90 Tage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Wortlaut im Freigabeprotokoll; Verwaltungsprotokoll</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Vorgabe je 1.095 Tage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übrige Angaben einer Zeile im Freigabeprotokoll</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6 volle Kalenderjahre nach dem Jahr der Freigabe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Tagesübersichten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wie Nachrichten (Vorgabe 180 Tage)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Schleifenschutz der Automatik (Empfänger, Betreff und Message-ID selbsttätig versandter Antworten)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wie Nachrichten (Vorgabe 180 Tage)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gespeicherte Bankverbindungen bekannter Absender (Betrugserkennung)</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24 Monate nach der letzten Nennung, nicht änderbar</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Datensicherungen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Sicherungsstände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CRM 30, Kalender 30, Mailagent 14 Stände; gelöscht wird nach Anzahl, nicht nach Alter</w:t>
            </w:r>
          </w:p>
        </w:tc>
      </w:tr>
    </w:tbl>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Für den NexAI Mailagent gelten die Fristen der Instanz des Kunden erst, wenn dort der Löschlauf scharf geschaltet ist [setzt voraus: Löschlauf in jeder Kundeninstanz scharf geschaltet].</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Unterschriften</w:t>
      </w:r>
    </w:p>
    <w:p>
      <w:pPr>
        <w:spacing w:after="120" w:line="276"/>
        <w:jc w:val="both"/>
      </w:pPr>
      <w:r>
        <w:rPr>
          <w:rFonts w:ascii="Arial" w:cs="Arial" w:eastAsia="Arial" w:hAnsi="Arial"/>
          <w:b w:val="false"/>
          <w:bCs w:val="false"/>
          <w:i w:val="false"/>
          <w:iCs w:val="false"/>
          <w:color w:val="1A1A1A"/>
          <w:sz w:val="21"/>
          <w:szCs w:val="21"/>
        </w:rPr>
        <w:t xml:space="preserve">Die Parteien schließen diesen Vertrag zur Auftragsverarbeitung einschließlich seiner Anhänge 1 bis 3 verbindlich ab.</w:t>
      </w:r>
    </w:p>
    <w:p>
      <w:pPr>
        <w:spacing w:after="24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Für die Unterschrift für NexAI durch bevollmächtigte Personen gilt der Hinweis zur Unterschrift in Ziffer 16 des Leistungsscheins.</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Funktion (Gesellschafter oder in Vollmacht für NexAI)</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p>
      <w:pPr>
        <w:spacing w:after="24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Anlage C – Service Level Agreement (SLA)</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Support- und Servicebedingungen für den laufenden Betrieb der Agenten und Anwendungen</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Zweck und Geltung</w:t>
      </w:r>
    </w:p>
    <w:p>
      <w:pPr>
        <w:spacing w:after="120" w:line="276"/>
        <w:jc w:val="both"/>
      </w:pPr>
      <w:r>
        <w:rPr>
          <w:rFonts w:ascii="Arial" w:cs="Arial" w:eastAsia="Arial" w:hAnsi="Arial"/>
          <w:b w:val="false"/>
          <w:bCs w:val="false"/>
          <w:i w:val="false"/>
          <w:iCs w:val="false"/>
          <w:color w:val="1A1A1A"/>
          <w:sz w:val="21"/>
          <w:szCs w:val="21"/>
        </w:rPr>
        <w:t xml:space="preserve">Diese Anlage C (Service Level Agreement, nachfolgend "SLA") regelt die Support- und Servicebedingungen für die von der </w:t>
      </w: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vertreten durch die Gesellschafter Maximilian Trenk und Jason Brian Merklein, jeder allein (§ 720 Abs. 2 BGB), oder durch eine bevollmächtigte Person (Ziffer 16 des Leistungsscheins) (nachfolgend "NexAI"), gegenüber dem im Auftragsformular bezeichneten Kunden (nachfolgend "Kunde") erbrachten Betriebsleistungen, insbesondere Betrieb, Wartung, Hosting und Support der Agenten und Anwendungen.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Diese Anlage C ist Bestandteil der Vertragsdokumente und ergänzt den Rahmenvertrag. Sie gilt für die Dauer des jeweiligen Betriebsverhältnisses für die Betriebsleistungen (§ 3 Abs. (2) des Rahmenvertrags); für Projektleistungen (einmalige Werkleistungen) gilt sie nicht. Für Anwendungen, die der Kunde als Kauflizenz selbst betreibt, gilt nur Ziffer 12.</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Bei Widersprüchen zwischen dieser Anlage C und dem Rahmenvertrag gehen die Regelungen des Rahmenvertrags vor, soweit dort nicht ausdrücklich auf diese Anlage verwiesen wird.</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in dieser Anlage genannten Support- und Reaktionszeiten setzen ein bestehendes, nicht gekündigtes und nicht nach § 7 Abs. (11) des Rahmenvertrags ausgesetztes Vertragsverhältnis voraus.</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in den Vertragsdokumenten (insbesondere Rahmenvertrag, Anlage A und Anlage B (AVV)) definierten Begriffe gelten in dieser Anlage einheitlich fort.</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Servicezeiten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regulären </w:t>
      </w:r>
      <w:r>
        <w:rPr>
          <w:rFonts w:ascii="Arial" w:cs="Arial" w:eastAsia="Arial" w:hAnsi="Arial"/>
          <w:b/>
          <w:bCs/>
          <w:i w:val="false"/>
          <w:iCs w:val="false"/>
          <w:color w:val="1A1A1A"/>
          <w:sz w:val="21"/>
          <w:szCs w:val="21"/>
        </w:rPr>
        <w:t xml:space="preserve">Servicezeiten</w:t>
      </w:r>
      <w:r>
        <w:rPr>
          <w:rFonts w:ascii="Arial" w:cs="Arial" w:eastAsia="Arial" w:hAnsi="Arial"/>
          <w:b w:val="false"/>
          <w:bCs w:val="false"/>
          <w:i w:val="false"/>
          <w:iCs w:val="false"/>
          <w:color w:val="1A1A1A"/>
          <w:sz w:val="21"/>
          <w:szCs w:val="21"/>
        </w:rPr>
        <w:t xml:space="preserve"> von NexAI sind Montag bis Freitag von </w:t>
      </w:r>
      <w:r>
        <w:rPr>
          <w:rFonts w:ascii="Arial" w:cs="Arial" w:eastAsia="Arial" w:hAnsi="Arial"/>
          <w:b/>
          <w:bCs/>
          <w:i w:val="false"/>
          <w:iCs w:val="false"/>
          <w:color w:val="1A1A1A"/>
          <w:sz w:val="21"/>
          <w:szCs w:val="21"/>
        </w:rPr>
        <w:t xml:space="preserve">09:00 bis 17:00 Uhr</w:t>
      </w:r>
      <w:r>
        <w:rPr>
          <w:rFonts w:ascii="Arial" w:cs="Arial" w:eastAsia="Arial" w:hAnsi="Arial"/>
          <w:b w:val="false"/>
          <w:bCs w:val="false"/>
          <w:i w:val="false"/>
          <w:iCs w:val="false"/>
          <w:color w:val="1A1A1A"/>
          <w:sz w:val="21"/>
          <w:szCs w:val="21"/>
        </w:rPr>
        <w:t xml:space="preserve"> (gesetzliche Zeit in Deutschland, MEZ/MESZ), ausgenommen die gesetzlichen Feiertage am Sitz von NexAI im Bundesland </w:t>
      </w:r>
      <w:r>
        <w:rPr>
          <w:rFonts w:ascii="Arial" w:cs="Arial" w:eastAsia="Arial" w:hAnsi="Arial"/>
          <w:b/>
          <w:bCs/>
          <w:i w:val="false"/>
          <w:iCs w:val="false"/>
          <w:color w:val="1A1A1A"/>
          <w:sz w:val="21"/>
          <w:szCs w:val="21"/>
        </w:rPr>
        <w:t xml:space="preserve">Baden-Württemberg</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Als </w:t>
      </w:r>
      <w:r>
        <w:rPr>
          <w:rFonts w:ascii="Arial" w:cs="Arial" w:eastAsia="Arial" w:hAnsi="Arial"/>
          <w:b/>
          <w:bCs/>
          <w:i w:val="false"/>
          <w:iCs w:val="false"/>
          <w:color w:val="1A1A1A"/>
          <w:sz w:val="21"/>
          <w:szCs w:val="21"/>
        </w:rPr>
        <w:t xml:space="preserve">Werktage</w:t>
      </w:r>
      <w:r>
        <w:rPr>
          <w:rFonts w:ascii="Arial" w:cs="Arial" w:eastAsia="Arial" w:hAnsi="Arial"/>
          <w:b w:val="false"/>
          <w:bCs w:val="false"/>
          <w:i w:val="false"/>
          <w:iCs w:val="false"/>
          <w:color w:val="1A1A1A"/>
          <w:sz w:val="21"/>
          <w:szCs w:val="21"/>
        </w:rPr>
        <w:t xml:space="preserve"> im Sinne dieser Anlage gelten Montag bis Freitag mit Ausnahme der vorgenannten gesetzlichen Feiertage.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Supportanfragen, die außerhalb der Servicezeiten eingehen, gelten als am nächsten Werktag zu Beginn der Servicezeiten (09:00 Uhr) eingegangen. Die in Abschnitt 4 genannten Reaktionszeiten beginnen erst mit diesem Zeitpunkt zu laufen und werden ausschließlich innerhalb der Servicezeiten berechnet.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ist nicht zu einer über die Servicezeiten hinausgehenden Erreichbarkeit, Rufbereitschaft oder Überwachung verpflichtet. Ein 24/7-Support oder eine 24/7-Überwachung wird nicht geschuldet.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Ist der telefonische Ansprechpartner von NexAI wegen Urlaubs oder Krankheit abwesend, kündigt NexAI planbare Abwesenheiten rechtzeitig in Textform an. Vertretung ist der Gesellschafter Jason Brian Merklein; er übernimmt die Erstreaktion zu denselben Reaktionszeiten nach Ziffer 4, bei P1 also innerhalb von 4 Servicestunden.</w:t>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Supportkanäle</w:t>
      </w:r>
    </w:p>
    <w:p>
      <w:pPr>
        <w:spacing w:after="120" w:line="276"/>
        <w:jc w:val="both"/>
      </w:pPr>
      <w:r>
        <w:rPr>
          <w:rFonts w:ascii="Arial" w:cs="Arial" w:eastAsia="Arial" w:hAnsi="Arial"/>
          <w:b w:val="false"/>
          <w:bCs w:val="false"/>
          <w:i w:val="false"/>
          <w:iCs w:val="false"/>
          <w:color w:val="1A1A1A"/>
          <w:sz w:val="21"/>
          <w:szCs w:val="21"/>
        </w:rPr>
        <w:t xml:space="preserve">Support wird über die nachfolgenden Kanäle erbracht. NexAI ist berechtigt, den für die jeweilige Anfrage geeigneten Kanal zu bestimmen: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E-Mail</w:t>
      </w:r>
      <w:r>
        <w:rPr>
          <w:rFonts w:ascii="Arial" w:cs="Arial" w:eastAsia="Arial" w:hAnsi="Arial"/>
          <w:b w:val="false"/>
          <w:bCs w:val="false"/>
          <w:i w:val="false"/>
          <w:iCs w:val="false"/>
          <w:color w:val="1A1A1A"/>
          <w:sz w:val="21"/>
          <w:szCs w:val="21"/>
        </w:rPr>
        <w:t xml:space="preserve"> an mbt@nex-a-i.com (bevorzugter Kanal für die Meldung und Dokumentation von Störungen);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Telefon</w:t>
      </w:r>
      <w:r>
        <w:rPr>
          <w:rFonts w:ascii="Arial" w:cs="Arial" w:eastAsia="Arial" w:hAnsi="Arial"/>
          <w:b w:val="false"/>
          <w:bCs w:val="false"/>
          <w:i w:val="false"/>
          <w:iCs w:val="false"/>
          <w:color w:val="1A1A1A"/>
          <w:sz w:val="21"/>
          <w:szCs w:val="21"/>
        </w:rPr>
        <w:t xml:space="preserve"> unter 0176 80714816 innerhalb der Servicezeiten; bei Störungen der Priorität P1 vorrangig zu nutzen;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Videokonferenz</w:t>
      </w:r>
      <w:r>
        <w:rPr>
          <w:rFonts w:ascii="Arial" w:cs="Arial" w:eastAsia="Arial" w:hAnsi="Arial"/>
          <w:b w:val="false"/>
          <w:bCs w:val="false"/>
          <w:i w:val="false"/>
          <w:iCs w:val="false"/>
          <w:color w:val="1A1A1A"/>
          <w:sz w:val="21"/>
          <w:szCs w:val="21"/>
        </w:rPr>
        <w:t xml:space="preserve"> nach vorheriger Terminvereinbarung;</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Fernwartung</w:t>
      </w:r>
      <w:r>
        <w:rPr>
          <w:rFonts w:ascii="Arial" w:cs="Arial" w:eastAsia="Arial" w:hAnsi="Arial"/>
          <w:b w:val="false"/>
          <w:bCs w:val="false"/>
          <w:i w:val="false"/>
          <w:iCs w:val="false"/>
          <w:color w:val="1A1A1A"/>
          <w:sz w:val="21"/>
          <w:szCs w:val="21"/>
        </w:rPr>
        <w:t xml:space="preserve"> (Remote-Zugriff) nach vorheriger Abstimmung und Freigabe durch den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sofern von NexAI bereitgestellt: ein </w:t>
      </w:r>
      <w:r>
        <w:rPr>
          <w:rFonts w:ascii="Arial" w:cs="Arial" w:eastAsia="Arial" w:hAnsi="Arial"/>
          <w:b/>
          <w:bCs/>
          <w:i w:val="false"/>
          <w:iCs w:val="false"/>
          <w:color w:val="1A1A1A"/>
          <w:sz w:val="21"/>
          <w:szCs w:val="21"/>
        </w:rPr>
        <w:t xml:space="preserve">Ticketsystem</w:t>
      </w:r>
      <w:r>
        <w:rPr>
          <w:rFonts w:ascii="Arial" w:cs="Arial" w:eastAsia="Arial" w:hAnsi="Arial"/>
          <w:b w:val="false"/>
          <w:bCs w:val="false"/>
          <w:i w:val="false"/>
          <w:iCs w:val="false"/>
          <w:color w:val="1A1A1A"/>
          <w:sz w:val="21"/>
          <w:szCs w:val="21"/>
        </w:rPr>
        <w:t xml:space="preserve"> zur strukturierten Erfassung und Nachverfolgung von Anfragen;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für Meldungen von Sicherheitslücken: </w:t>
      </w:r>
      <w:r>
        <w:rPr>
          <w:rFonts w:ascii="Arial" w:cs="Arial" w:eastAsia="Arial" w:hAnsi="Arial"/>
          <w:b/>
          <w:bCs/>
          <w:i w:val="false"/>
          <w:iCs w:val="false"/>
          <w:color w:val="1A1A1A"/>
          <w:sz w:val="21"/>
          <w:szCs w:val="21"/>
        </w:rPr>
        <w:t xml:space="preserve">security@nex-a-i.com</w:t>
      </w:r>
      <w:r>
        <w:rPr>
          <w:rFonts w:ascii="Arial" w:cs="Arial" w:eastAsia="Arial" w:hAnsi="Arial"/>
          <w:b w:val="false"/>
          <w:bCs w:val="false"/>
          <w:i w:val="false"/>
          <w:iCs w:val="false"/>
          <w:color w:val="1A1A1A"/>
          <w:sz w:val="21"/>
          <w:szCs w:val="21"/>
        </w:rPr>
        <w:t xml:space="preserve"> [setzt voraus: Postfach eingerichtet; bis dahin mbt@nex-a-i.com].</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Maßgeblich für die Fristberechnung ist der Eingang der Anfrage über den jeweils von NexAI benannten oder genutzten Supportkanal. NexAI kann verlangen, dass Störungsmeldungen zur Nachvollziehbarkeit in Textform (insbesondere per E-Mail oder Ticketsystem) erfolgen.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benennt NexAI mindestens einen fachkundigen Ansprechpartner, der zur Meldung und Bearbeitung von Supportanfragen berechtigt ist.</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Prioritäten und Reaktionszeiten</w:t>
      </w:r>
    </w:p>
    <w:p>
      <w:pPr>
        <w:spacing w:after="120" w:line="276"/>
        <w:jc w:val="both"/>
      </w:pPr>
      <w:r>
        <w:rPr>
          <w:rFonts w:ascii="Arial" w:cs="Arial" w:eastAsia="Arial" w:hAnsi="Arial"/>
          <w:b w:val="false"/>
          <w:bCs w:val="false"/>
          <w:i w:val="false"/>
          <w:iCs w:val="false"/>
          <w:color w:val="1A1A1A"/>
          <w:sz w:val="21"/>
          <w:szCs w:val="21"/>
        </w:rPr>
        <w:t xml:space="preserve">NexAI kategorisiert gemeldete Störungen nach den nachfolgenden Prioritätsstufen. Die Einordnung nimmt NexAI nach pflichtgemäßem Ermessen anhand der tatsächlichen Auswirkung auf den Betrieb und unter angemessener Berücksichtigung der Angaben des Kunden vor. Die genannten Zeiten sind </w:t>
      </w:r>
      <w:r>
        <w:rPr>
          <w:rFonts w:ascii="Arial" w:cs="Arial" w:eastAsia="Arial" w:hAnsi="Arial"/>
          <w:b/>
          <w:bCs/>
          <w:i w:val="false"/>
          <w:iCs w:val="false"/>
          <w:color w:val="1A1A1A"/>
          <w:sz w:val="21"/>
          <w:szCs w:val="21"/>
        </w:rPr>
        <w:t xml:space="preserve">Erstreaktionszeiten</w:t>
      </w:r>
      <w:r>
        <w:rPr>
          <w:rFonts w:ascii="Arial" w:cs="Arial" w:eastAsia="Arial" w:hAnsi="Arial"/>
          <w:b w:val="false"/>
          <w:bCs w:val="false"/>
          <w:i w:val="false"/>
          <w:iCs w:val="false"/>
          <w:color w:val="1A1A1A"/>
          <w:sz w:val="21"/>
          <w:szCs w:val="21"/>
        </w:rPr>
        <w:t xml:space="preserve"> und laufen ausschließlich innerhalb der Servicezeiten (Abschnitt 2).</w:t>
      </w:r>
    </w:p>
    <w:p>
      <w:pPr>
        <w:pStyle w:val="Heading2"/>
        <w:keepNext/>
        <w:spacing w:after="80" w:before="160"/>
      </w:pPr>
      <w:r>
        <w:rPr>
          <w:rFonts w:ascii="Arial" w:cs="Arial" w:eastAsia="Arial" w:hAnsi="Arial"/>
          <w:b/>
          <w:bCs/>
          <w:i w:val="false"/>
          <w:iCs w:val="false"/>
          <w:color w:val="0B0B0F"/>
          <w:sz w:val="21"/>
          <w:szCs w:val="21"/>
        </w:rPr>
        <w:t xml:space="preserve">4.1 Prioritätsstufen und Beispiele</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2351"/>
        <w:gridCol w:w="2351"/>
        <w:gridCol w:w="2351"/>
        <w:gridCol w:w="2351"/>
      </w:tblGrid>
      <w:tr>
        <w:trPr>
          <w:tblHeader/>
        </w:trPr>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Priorität</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Definition</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Beispiele</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Erstreaktion</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P1 – Kritisch</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Totalausfall; ein Agent oder eine von NexAI betriebene Anwendung ist vollständig funktionsunfähig und es besteht keine nutzbare Ausweichmöglichkeit.</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Voice Agent nimmt keine Anrufe mehr entgegen; Chat Agent ist vollständig nicht erreichbar; NexAI Kalender oder NexAI Mailagent ist nicht erreichbar oder nicht bedienbar.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innerhalb von </w:t>
            </w:r>
            <w:r>
              <w:rPr>
                <w:rFonts w:ascii="Arial" w:cs="Arial" w:eastAsia="Arial" w:hAnsi="Arial"/>
                <w:b/>
                <w:bCs/>
                <w:i w:val="false"/>
                <w:iCs w:val="false"/>
                <w:color w:val="1A1A1A"/>
                <w:sz w:val="20"/>
                <w:szCs w:val="20"/>
              </w:rPr>
              <w:t xml:space="preserve">4 Servicestunden</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P2 – Hoch</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Ausfall oder erhebliche Störung einer wesentlichen Funktion; die Kernnutzung ist stark beeinträchtigt, ein eingeschränkter Betrieb bleibt aber möglich.</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Terminbuchung schlägt systematisch fehl; wesentliche Integration (z. B. Kalender/CRM) liefert keine Daten; wiederkehrende Abbrüche im Gesprächsverlauf.</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innerhalb von </w:t>
            </w:r>
            <w:r>
              <w:rPr>
                <w:rFonts w:ascii="Arial" w:cs="Arial" w:eastAsia="Arial" w:hAnsi="Arial"/>
                <w:b/>
                <w:bCs/>
                <w:i w:val="false"/>
                <w:iCs w:val="false"/>
                <w:color w:val="1A1A1A"/>
                <w:sz w:val="20"/>
                <w:szCs w:val="20"/>
              </w:rPr>
              <w:t xml:space="preserve">1 Werktag</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P3 – Mittel</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Störung einer Teilfunktion; einzelne, nicht geschäftskritische Funktionen sind beeinträchtigt, der Gesamtbetrieb ist im Wesentlichen nutzbar.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Fehlerhafte Formulierung in einer Ansage; einzelne Automatisierungsschritte mit Verzögerung; kosmetische oder nicht kritische Fehler.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innerhalb von </w:t>
            </w:r>
            <w:r>
              <w:rPr>
                <w:rFonts w:ascii="Arial" w:cs="Arial" w:eastAsia="Arial" w:hAnsi="Arial"/>
                <w:b/>
                <w:bCs/>
                <w:i w:val="false"/>
                <w:iCs w:val="false"/>
                <w:color w:val="1A1A1A"/>
                <w:sz w:val="20"/>
                <w:szCs w:val="20"/>
              </w:rPr>
              <w:t xml:space="preserve">2 Werktagen</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P4 – Niedrig</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Allgemeine Anfrage, Auskunft oder Änderungswunsch ohne Störungscharakter.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Fragen zur Bedienung; Wunsch nach kleiner Anpassung; Auswertungs- oder Konfigurationsanfragen.</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innerhalb von </w:t>
            </w:r>
            <w:r>
              <w:rPr>
                <w:rFonts w:ascii="Arial" w:cs="Arial" w:eastAsia="Arial" w:hAnsi="Arial"/>
                <w:b/>
                <w:bCs/>
                <w:i w:val="false"/>
                <w:iCs w:val="false"/>
                <w:color w:val="1A1A1A"/>
                <w:sz w:val="20"/>
                <w:szCs w:val="20"/>
              </w:rPr>
              <w:t xml:space="preserve">3 Werktagen</w:t>
            </w:r>
          </w:p>
        </w:tc>
      </w:tr>
    </w:tbl>
    <w:p>
      <w:pPr>
        <w:spacing w:after="120"/>
      </w:pPr>
      <w:r>
        <w:rPr>
          <w:sz w:val="2"/>
          <w:szCs w:val="2"/>
        </w:rPr>
        <w:t xml:space="preserve"/>
      </w:r>
    </w:p>
    <w:p>
      <w:pPr>
        <w:pStyle w:val="Heading2"/>
        <w:keepNext/>
        <w:spacing w:after="80" w:before="160"/>
      </w:pPr>
      <w:r>
        <w:rPr>
          <w:rFonts w:ascii="Arial" w:cs="Arial" w:eastAsia="Arial" w:hAnsi="Arial"/>
          <w:b/>
          <w:bCs/>
          <w:i w:val="false"/>
          <w:iCs w:val="false"/>
          <w:color w:val="0B0B0F"/>
          <w:sz w:val="21"/>
          <w:szCs w:val="21"/>
        </w:rPr>
        <w:t xml:space="preserve">4.2 Art der Reaktionszeit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w:t>
      </w:r>
      <w:r>
        <w:rPr>
          <w:rFonts w:ascii="Arial" w:cs="Arial" w:eastAsia="Arial" w:hAnsi="Arial"/>
          <w:b/>
          <w:bCs/>
          <w:i w:val="false"/>
          <w:iCs w:val="false"/>
          <w:color w:val="1A1A1A"/>
          <w:sz w:val="21"/>
          <w:szCs w:val="21"/>
        </w:rPr>
        <w:t xml:space="preserve">Erstreaktionszeit</w:t>
      </w:r>
      <w:r>
        <w:rPr>
          <w:rFonts w:ascii="Arial" w:cs="Arial" w:eastAsia="Arial" w:hAnsi="Arial"/>
          <w:b w:val="false"/>
          <w:bCs w:val="false"/>
          <w:i w:val="false"/>
          <w:iCs w:val="false"/>
          <w:color w:val="1A1A1A"/>
          <w:sz w:val="21"/>
          <w:szCs w:val="21"/>
        </w:rPr>
        <w:t xml:space="preserve"> bezeichnet den Zeitraum bis zur ersten inhaltlichen Rückmeldung von NexAI, mit der die Bearbeitung aufgenommen und das weitere Vorgehen mitgeteilt wird. Eine automatisierte Eingangsbestätigung stellt keine Erstreaktion dar.</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schuldet die Erstreaktion innerhalb der genannten Zeiten. Eine bestimmte </w:t>
      </w:r>
      <w:r>
        <w:rPr>
          <w:rFonts w:ascii="Arial" w:cs="Arial" w:eastAsia="Arial" w:hAnsi="Arial"/>
          <w:b/>
          <w:bCs/>
          <w:i w:val="false"/>
          <w:iCs w:val="false"/>
          <w:color w:val="1A1A1A"/>
          <w:sz w:val="21"/>
          <w:szCs w:val="21"/>
        </w:rPr>
        <w:t xml:space="preserve">Wiederherstellungs-, Lösungs- oder Behebungszeit wird nicht zugesagt</w:t>
      </w:r>
      <w:r>
        <w:rPr>
          <w:rFonts w:ascii="Arial" w:cs="Arial" w:eastAsia="Arial" w:hAnsi="Arial"/>
          <w:b w:val="false"/>
          <w:bCs w:val="false"/>
          <w:i w:val="false"/>
          <w:iCs w:val="false"/>
          <w:color w:val="1A1A1A"/>
          <w:sz w:val="21"/>
          <w:szCs w:val="21"/>
        </w:rPr>
        <w:t xml:space="preserve">; NexAI bearbeitet und behebt gemeldete Störungen mit der nach den Umständen gebotenen Sorgfalt und in einer der Priorität angemessenen Weise. Die Verfügbarkeit richtet sich nach Ziffer 7.</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Störungen bei Subunternehmern und Drittdiensten (Anlage B, Anhang 2), die NexAI nicht zu vertreten hat, sowie höhere Gewalt verlängern die Frist zur Behebung, nicht die Erstreaktionszeit. Von NexAI zu vertreten sind insbesondere fehlendes Guthaben, abgelaufene Zugänge und eigene Konfigurationsfehler. NexAI unterrichtet den Kunden über solche Umstände, sobald sie erkannt sind.</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Reaktionszeiten werden ferner gehemmt, solange NexAI auf die erforderliche Mitwirkung des Kunden (Abschnitt 10) wartet, insbesondere auf eine Fehlerbeschreibung, Rückfragenbeantwortung oder Bereitstellung von Zugängen.</w:t>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Enthaltener und nicht enthaltener Support</w:t>
      </w:r>
    </w:p>
    <w:p>
      <w:pPr>
        <w:pStyle w:val="Heading2"/>
        <w:keepNext/>
        <w:spacing w:after="80" w:before="160"/>
      </w:pPr>
      <w:r>
        <w:rPr>
          <w:rFonts w:ascii="Arial" w:cs="Arial" w:eastAsia="Arial" w:hAnsi="Arial"/>
          <w:b/>
          <w:bCs/>
          <w:i w:val="false"/>
          <w:iCs w:val="false"/>
          <w:color w:val="0B0B0F"/>
          <w:sz w:val="21"/>
          <w:szCs w:val="21"/>
        </w:rPr>
        <w:t xml:space="preserve">5.1 Enthaltener Support</w:t>
      </w:r>
    </w:p>
    <w:p>
      <w:pPr>
        <w:spacing w:after="120" w:line="276"/>
        <w:jc w:val="both"/>
      </w:pPr>
      <w:r>
        <w:rPr>
          <w:rFonts w:ascii="Arial" w:cs="Arial" w:eastAsia="Arial" w:hAnsi="Arial"/>
          <w:b w:val="false"/>
          <w:bCs w:val="false"/>
          <w:i w:val="false"/>
          <w:iCs w:val="false"/>
          <w:color w:val="1A1A1A"/>
          <w:sz w:val="21"/>
          <w:szCs w:val="21"/>
        </w:rPr>
        <w:t xml:space="preserve">Im laufenden Beitrag enthalten sind – im Rahmen der Servicezeiten und der vereinbarten Freikontingente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Entgegennahme, Kategorisierung und Bearbeitung von Störungsmeldungen zu den beauftragten Agenten und Anwendungen;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Analyse und Behebung von Störungen im Verantwortungsbereich von NexAI;</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laufende Betreuung, Wartung und Pflege der beauftragten Agenten und Anwendungen im vertraglich vereinbarten Umfang;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geringfügige Konfigurationsanpassungen bestehender Agenten und Anwendungen ohne wesentliche Änderung des Leistungsumfangs;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Auskünfte zur Bedienung und zum vereinbarten Funktionsumfang.</w:t>
      </w:r>
    </w:p>
    <w:p>
      <w:pPr>
        <w:pStyle w:val="Heading2"/>
        <w:keepNext/>
        <w:spacing w:after="80" w:before="160"/>
      </w:pPr>
      <w:r>
        <w:rPr>
          <w:rFonts w:ascii="Arial" w:cs="Arial" w:eastAsia="Arial" w:hAnsi="Arial"/>
          <w:b/>
          <w:bCs/>
          <w:i w:val="false"/>
          <w:iCs w:val="false"/>
          <w:color w:val="0B0B0F"/>
          <w:sz w:val="21"/>
          <w:szCs w:val="21"/>
        </w:rPr>
        <w:t xml:space="preserve">5.2 Nicht enthaltener, gesondert zu vergütender Support</w:t>
      </w:r>
    </w:p>
    <w:p>
      <w:pPr>
        <w:spacing w:after="120" w:line="276"/>
        <w:jc w:val="both"/>
      </w:pPr>
      <w:r>
        <w:rPr>
          <w:rFonts w:ascii="Arial" w:cs="Arial" w:eastAsia="Arial" w:hAnsi="Arial"/>
          <w:b w:val="false"/>
          <w:bCs w:val="false"/>
          <w:i w:val="false"/>
          <w:iCs w:val="false"/>
          <w:color w:val="1A1A1A"/>
          <w:sz w:val="21"/>
          <w:szCs w:val="21"/>
        </w:rPr>
        <w:t xml:space="preserve">Nicht vom laufenden Beitrag umfasst und nur nach gesonderter Beauftragung und Vergütung geschuldet sind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Entwicklung, Einrichtung oder Freischaltung </w:t>
      </w:r>
      <w:r>
        <w:rPr>
          <w:rFonts w:ascii="Arial" w:cs="Arial" w:eastAsia="Arial" w:hAnsi="Arial"/>
          <w:b/>
          <w:bCs/>
          <w:i w:val="false"/>
          <w:iCs w:val="false"/>
          <w:color w:val="1A1A1A"/>
          <w:sz w:val="21"/>
          <w:szCs w:val="21"/>
        </w:rPr>
        <w:t xml:space="preserve">neuer Funktionen</w:t>
      </w:r>
      <w:r>
        <w:rPr>
          <w:rFonts w:ascii="Arial" w:cs="Arial" w:eastAsia="Arial" w:hAnsi="Arial"/>
          <w:b w:val="false"/>
          <w:bCs w:val="false"/>
          <w:i w:val="false"/>
          <w:iCs w:val="false"/>
          <w:color w:val="1A1A1A"/>
          <w:sz w:val="21"/>
          <w:szCs w:val="21"/>
        </w:rPr>
        <w:t xml:space="preserve"> oder wesentlicher Erweiterungen bestehender Agenten und Anwendungen;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Erstellung, Einrichtung und Inbetriebnahme </w:t>
      </w:r>
      <w:r>
        <w:rPr>
          <w:rFonts w:ascii="Arial" w:cs="Arial" w:eastAsia="Arial" w:hAnsi="Arial"/>
          <w:b/>
          <w:bCs/>
          <w:i w:val="false"/>
          <w:iCs w:val="false"/>
          <w:color w:val="1A1A1A"/>
          <w:sz w:val="21"/>
          <w:szCs w:val="21"/>
        </w:rPr>
        <w:t xml:space="preserve">weiterer oder neuer Agenten und Anwendungen</w:t>
      </w:r>
      <w:r>
        <w:rPr>
          <w:rFonts w:ascii="Arial" w:cs="Arial" w:eastAsia="Arial" w:hAnsi="Arial"/>
          <w:b w:val="false"/>
          <w:bCs w:val="false"/>
          <w:i w:val="false"/>
          <w:iCs w:val="false"/>
          <w:color w:val="1A1A1A"/>
          <w:sz w:val="21"/>
          <w:szCs w:val="21"/>
        </w:rPr>
        <w:t xml:space="preserv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Anbindung, Änderung oder Erweiterung von </w:t>
      </w:r>
      <w:r>
        <w:rPr>
          <w:rFonts w:ascii="Arial" w:cs="Arial" w:eastAsia="Arial" w:hAnsi="Arial"/>
          <w:b/>
          <w:bCs/>
          <w:i w:val="false"/>
          <w:iCs w:val="false"/>
          <w:color w:val="1A1A1A"/>
          <w:sz w:val="21"/>
          <w:szCs w:val="21"/>
        </w:rPr>
        <w:t xml:space="preserve">Integrationen</w:t>
      </w:r>
      <w:r>
        <w:rPr>
          <w:rFonts w:ascii="Arial" w:cs="Arial" w:eastAsia="Arial" w:hAnsi="Arial"/>
          <w:b w:val="false"/>
          <w:bCs w:val="false"/>
          <w:i w:val="false"/>
          <w:iCs w:val="false"/>
          <w:color w:val="1A1A1A"/>
          <w:sz w:val="21"/>
          <w:szCs w:val="21"/>
        </w:rPr>
        <w:t xml:space="preserve"> und Schnittstellen zu Dritt- oder Kundensystemen;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Schulungen</w:t>
      </w:r>
      <w:r>
        <w:rPr>
          <w:rFonts w:ascii="Arial" w:cs="Arial" w:eastAsia="Arial" w:hAnsi="Arial"/>
          <w:b w:val="false"/>
          <w:bCs w:val="false"/>
          <w:i w:val="false"/>
          <w:iCs w:val="false"/>
          <w:color w:val="1A1A1A"/>
          <w:sz w:val="21"/>
          <w:szCs w:val="21"/>
        </w:rPr>
        <w:t xml:space="preserve">, Workshops und Einweisungen;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Behebung von Störungen, die auf Ursachen im Verantwortungsbereich des Kunden, auf nicht von NexAI eingesetzte Dritte oder auf höhere Gewalt zurückzuführen sind (Aufwandsvergütung zu den jeweils gültigen Sätzen);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Leistungen außerhalb der Servicezeiten, soweit nicht gesondert vereinbart.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Nicht enthaltene Leistungen werden nach Aufwand zu den jeweils gültigen Netto-Stundensätzen von NexAI oder nach gesondertem Angebot abgerechnet. Alle Sätze verstehen sich netto zzgl. gesetzlicher Umsatzsteuer. NexAI wird den Kunden vor Aufnahme solcher Leistungen auf die Vergütungspflicht hinweisen.</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Wartung und Wartungsfenster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ist berechtigt, zur Aufrechterhaltung und Verbesserung des Betriebs planbare Wartungsarbeiten durchzuführen. </w:t>
      </w:r>
      <w:r>
        <w:rPr>
          <w:rFonts w:ascii="Arial" w:cs="Arial" w:eastAsia="Arial" w:hAnsi="Arial"/>
          <w:b/>
          <w:bCs/>
          <w:i w:val="false"/>
          <w:iCs w:val="false"/>
          <w:color w:val="1A1A1A"/>
          <w:sz w:val="21"/>
          <w:szCs w:val="21"/>
        </w:rPr>
        <w:t xml:space="preserve">Planbare Wartungen</w:t>
      </w:r>
      <w:r>
        <w:rPr>
          <w:rFonts w:ascii="Arial" w:cs="Arial" w:eastAsia="Arial" w:hAnsi="Arial"/>
          <w:b w:val="false"/>
          <w:bCs w:val="false"/>
          <w:i w:val="false"/>
          <w:iCs w:val="false"/>
          <w:color w:val="1A1A1A"/>
          <w:sz w:val="21"/>
          <w:szCs w:val="21"/>
        </w:rPr>
        <w:t xml:space="preserve"> werden nach Möglichkeit außerhalb der üblichen Geschäftszeiten des Kunden durchgeführt.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Planbare Wartungsarbeiten, die zu einer voraussichtlichen Beeinträchtigung der Erreichbarkeit der Agenten und Anwendungen führen, kündigt NexAI mit einer Frist von mindestens </w:t>
      </w:r>
      <w:r>
        <w:rPr>
          <w:rFonts w:ascii="Arial" w:cs="Arial" w:eastAsia="Arial" w:hAnsi="Arial"/>
          <w:b/>
          <w:bCs/>
          <w:i w:val="false"/>
          <w:iCs w:val="false"/>
          <w:color w:val="1A1A1A"/>
          <w:sz w:val="21"/>
          <w:szCs w:val="21"/>
        </w:rPr>
        <w:t xml:space="preserve">48 Stunden</w:t>
      </w:r>
      <w:r>
        <w:rPr>
          <w:rFonts w:ascii="Arial" w:cs="Arial" w:eastAsia="Arial" w:hAnsi="Arial"/>
          <w:b w:val="false"/>
          <w:bCs w:val="false"/>
          <w:i w:val="false"/>
          <w:iCs w:val="false"/>
          <w:color w:val="1A1A1A"/>
          <w:sz w:val="21"/>
          <w:szCs w:val="21"/>
        </w:rPr>
        <w:t xml:space="preserve"> in Textform (z. B. per E-Mail) an. Ausgenommen sind Aktualisierungen mit einer voraussichtlichen Unterbrechung von weniger als 15 Minuten außerhalb der Zeit von 8 bis 18 Uhr.</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Notfall- und Sicherheitswartungen</w:t>
      </w:r>
      <w:r>
        <w:rPr>
          <w:rFonts w:ascii="Arial" w:cs="Arial" w:eastAsia="Arial" w:hAnsi="Arial"/>
          <w:b w:val="false"/>
          <w:bCs w:val="false"/>
          <w:i w:val="false"/>
          <w:iCs w:val="false"/>
          <w:color w:val="1A1A1A"/>
          <w:sz w:val="21"/>
          <w:szCs w:val="21"/>
        </w:rPr>
        <w:t xml:space="preserve"> – insbesondere zur Abwehr akuter Sicherheitsrisiken, zur Behebung schwerwiegender Störungen oder aufgrund zwingender Vorgaben von Subunternehmern – darf NexAI ohne Vorankündigung und jederzeit durchführen. NexAI wird den Kunden hierüber unverzüglich informieren.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Wartungen nach den Absätzen (2) und (3) stellen keine Pflichtverletzung dar; ob sie als Ausfallzeit zählen, richtet sich nach Ziffer 7 Abs. (3). Die zwingende gesetzliche Haftung von NexAI, insbesondere bei Vorsatz und grober Fahrlässigkeit sowie bei der Verletzung von Leben, Körper oder Gesundheit, bleibt unberührt.</w:t>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Verfügbarkeit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Für die von NexAI betriebenen Anwendungen (NexAI Kalender, NexAI Mailagent, NexAI App sowie das NexAI CRM bei Betrieb durch NexAI) und für die von NexAI betriebene Vermittlungsschicht der Agenten (Server, Telefonie-Vermittlung, Automatisierungsplattform) gilt als vereinbarte Beschaffenheit eine </w:t>
      </w:r>
      <w:r>
        <w:rPr>
          <w:rFonts w:ascii="Arial" w:cs="Arial" w:eastAsia="Arial" w:hAnsi="Arial"/>
          <w:b/>
          <w:bCs/>
          <w:i w:val="false"/>
          <w:iCs w:val="false"/>
          <w:color w:val="1A1A1A"/>
          <w:sz w:val="21"/>
          <w:szCs w:val="21"/>
        </w:rPr>
        <w:t xml:space="preserve">Verfügbarkeit von 98 % im Kalendermonat</w:t>
      </w:r>
      <w:r>
        <w:rPr>
          <w:rFonts w:ascii="Arial" w:cs="Arial" w:eastAsia="Arial" w:hAnsi="Arial"/>
          <w:b w:val="false"/>
          <w:bCs w:val="false"/>
          <w:i w:val="false"/>
          <w:iCs w:val="false"/>
          <w:color w:val="1A1A1A"/>
          <w:sz w:val="21"/>
          <w:szCs w:val="21"/>
        </w:rPr>
        <w:t xml:space="preserve">, je Leistung. Verfügbar ist eine Leistung, wenn ihr Anmelde- oder Prüfpunkt von außen erreichbar ist und antwortet.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Gemessen wird von außen mindestens alle fünf Minuten; NexAI stellt die Messwerte auf Verlangen bereit [setzt voraus: externe Verfügbarkeitsmessung]. Bis die Messung eingerichtet ist, ermitteln die Parteien Ausfallzeiten anhand der Störungsmeldungen des Kunden und der Aufzeichnungen von NexAI; NexAI legt diese auf Verlangen vor.</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Keine Ausfallzeit sind (a) nach Ziffer 6 angekündigte Wartungen bis zu vier Stunden je Kalendermonat, (b) Störungen bei Subunternehmern, die NexAI nicht zu vertreten hat (nicht darunter fallen insbesondere fehlendes Guthaben, abgelaufene Zugänge und Konfigurationsfehler aus dem Bereich von NexAI), (c) höhere Gewalt (§ 22 des Rahmenvertrags) und (d) Ursachen im Verantwortungsbereich des Kunden.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Wird der Wert unterschritten, mindert sich der Monatsbeitrag der betroffenen Leistung pauschal: unter 98 % um 5 %, unter 95 % um 15 %, unter 90 % um 30 %; bei Projektanwendungen tritt an die Stelle des Monatsbeitrags der auf den Monat entfallende Teil der Pflegevergütung. Eine weitergehende Minderung bleibt dem Kunden bei nachgewiesener stärkerer Beeinträchtigung vorbehalten; eine unerhebliche Minderung der Tauglichkeit bleibt außer Betracht (§ 536 Abs. 1 Satz 3 BGB). Verrechnet wird mit der nächsten Rechnung. Ansprüche auf Schadensersatz nach § 12 des Rahmenvertrags bleiben unberührt; die Minderung wird auf sie angerechnet.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Liegt die Verfügbarkeit einer Leistung zwei Kalendermonate in Folge unter 90 %, kann der Kunde die betroffene Leistung fristlos kündigen.</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Für die Gesprächs- und Textverarbeitung der Agenten durch Drittdienste (insbesondere Sprachmodelle, Spracherkennung und Sprachausgabe) gilt Absatz (1) nicht. Ausfälle dieser Verarbeitung, die NexAI zu vertreten hat (etwa wegen fehlenden Guthabens), zählen jedoch als Ausfallzeit der Vermittlungsschicht.</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Für Anwendungen, die der Kunde als Kauflizenz selbst betreibt, gibt NexAI keine Verfügbarkeitszusage (Ziffer 12).</w:t>
      </w:r>
    </w:p>
    <w:p>
      <w:pPr>
        <w:spacing w:after="80" w:line="276"/>
        <w:ind w:left="360" w:hanging="360"/>
        <w:jc w:val="both"/>
      </w:pPr>
      <w:r>
        <w:rPr>
          <w:rFonts w:ascii="Arial" w:cs="Arial" w:eastAsia="Arial" w:hAnsi="Arial"/>
          <w:color w:val="1A1A1A"/>
          <w:sz w:val="21"/>
          <w:szCs w:val="21"/>
        </w:rPr>
        <w:t xml:space="preserve">(8)	</w:t>
      </w:r>
      <w:r>
        <w:rPr>
          <w:rFonts w:ascii="Arial" w:cs="Arial" w:eastAsia="Arial" w:hAnsi="Arial"/>
          <w:b w:val="false"/>
          <w:bCs w:val="false"/>
          <w:i w:val="false"/>
          <w:iCs w:val="false"/>
          <w:color w:val="1A1A1A"/>
          <w:sz w:val="21"/>
          <w:szCs w:val="21"/>
        </w:rPr>
        <w:t xml:space="preserve">Die Agenten und die Antwortentwürfe des NexAI Mailagent beruhen auf wahrscheinlichkeitsbasierter KI-Technologie und sind naturgemäß nicht fehlerfrei; hierauf wird ausdrücklich hingewiesen. Eine Erfolgs-, Lead- oder Umsatzgarantie übernimmt NexAI nicht.</w:t>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Störungsmeldung, Fallback und Business Continuity</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führt </w:t>
      </w:r>
      <w:r>
        <w:rPr>
          <w:rFonts w:ascii="Arial" w:cs="Arial" w:eastAsia="Arial" w:hAnsi="Arial"/>
          <w:b/>
          <w:bCs/>
          <w:i w:val="false"/>
          <w:iCs w:val="false"/>
          <w:color w:val="1A1A1A"/>
          <w:sz w:val="21"/>
          <w:szCs w:val="21"/>
        </w:rPr>
        <w:t xml:space="preserve">keine 24/7-Überwachung</w:t>
      </w:r>
      <w:r>
        <w:rPr>
          <w:rFonts w:ascii="Arial" w:cs="Arial" w:eastAsia="Arial" w:hAnsi="Arial"/>
          <w:b w:val="false"/>
          <w:bCs w:val="false"/>
          <w:i w:val="false"/>
          <w:iCs w:val="false"/>
          <w:color w:val="1A1A1A"/>
          <w:sz w:val="21"/>
          <w:szCs w:val="21"/>
        </w:rPr>
        <w:t xml:space="preserve"> der Agenten und Anwendungen durch und sagt eine solche nicht zu. Die Erkennung und Meldung von Störungen erfolgt im Rahmen der Servicezeiten sowie durch Meldungen des Kunden.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ist selbst dafür verantwortlich, für den Fall einer Nichtverfügbarkeit oder Störung der Agenten und Anwendungen ein </w:t>
      </w:r>
      <w:r>
        <w:rPr>
          <w:rFonts w:ascii="Arial" w:cs="Arial" w:eastAsia="Arial" w:hAnsi="Arial"/>
          <w:b/>
          <w:bCs/>
          <w:i w:val="false"/>
          <w:iCs w:val="false"/>
          <w:color w:val="1A1A1A"/>
          <w:sz w:val="21"/>
          <w:szCs w:val="21"/>
        </w:rPr>
        <w:t xml:space="preserve">angemessenes Ausweich- und Notfallverfahren (Fallback / Business Continuity)</w:t>
      </w:r>
      <w:r>
        <w:rPr>
          <w:rFonts w:ascii="Arial" w:cs="Arial" w:eastAsia="Arial" w:hAnsi="Arial"/>
          <w:b w:val="false"/>
          <w:bCs w:val="false"/>
          <w:i w:val="false"/>
          <w:iCs w:val="false"/>
          <w:color w:val="1A1A1A"/>
          <w:sz w:val="21"/>
          <w:szCs w:val="21"/>
        </w:rPr>
        <w:t xml:space="preserve"> vorzuhalten, das die Fortführung seiner geschäftskritischen Prozesse sicherstellt (z. B. Rufumleitung, manuelle Bearbeitung, alternative Kontaktwege).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ist verpflichtet, Störungen unverzüglich nach Kenntnis zu melden und den Schaden im Rahmen des Zumutbaren gering zu halten (</w:t>
      </w:r>
      <w:r>
        <w:rPr>
          <w:rFonts w:ascii="Arial" w:cs="Arial" w:eastAsia="Arial" w:hAnsi="Arial"/>
          <w:b/>
          <w:bCs/>
          <w:i w:val="false"/>
          <w:iCs w:val="false"/>
          <w:color w:val="1A1A1A"/>
          <w:sz w:val="21"/>
          <w:szCs w:val="21"/>
        </w:rPr>
        <w:t xml:space="preserve">Schadensminderungsobliegenheit gemäß § 254 BGB</w:t>
      </w:r>
      <w:r>
        <w:rPr>
          <w:rFonts w:ascii="Arial" w:cs="Arial" w:eastAsia="Arial" w:hAnsi="Arial"/>
          <w:b w:val="false"/>
          <w:bCs w:val="false"/>
          <w:i w:val="false"/>
          <w:iCs w:val="false"/>
          <w:color w:val="1A1A1A"/>
          <w:sz w:val="21"/>
          <w:szCs w:val="21"/>
        </w:rPr>
        <w:t xml:space="preserve">). Eine schuldhafte Verletzung dieser Obliegenheit kann Ansprüche des Kunden mindern oder ausschließen.</w:t>
      </w:r>
    </w:p>
    <w:p>
      <w:pPr>
        <w:pStyle w:val="Heading1"/>
        <w:keepNext/>
        <w:spacing w:after="100" w:before="260"/>
      </w:pPr>
      <w:r>
        <w:rPr>
          <w:rFonts w:ascii="Arial" w:cs="Arial" w:eastAsia="Arial" w:hAnsi="Arial"/>
          <w:b/>
          <w:bCs/>
          <w:color w:val="1F3A8A"/>
          <w:sz w:val="24"/>
          <w:szCs w:val="24"/>
        </w:rPr>
        <w:t xml:space="preserve">9.  </w:t>
      </w:r>
      <w:r>
        <w:rPr>
          <w:rFonts w:ascii="Arial" w:cs="Arial" w:eastAsia="Arial" w:hAnsi="Arial"/>
          <w:b/>
          <w:bCs/>
          <w:i w:val="false"/>
          <w:iCs w:val="false"/>
          <w:color w:val="0B0B0F"/>
          <w:sz w:val="24"/>
          <w:szCs w:val="24"/>
        </w:rPr>
        <w:t xml:space="preserve">Datensicherung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sichert die Daten der von ihr betriebenen Anwendungen täglich in verschlüsselter Form: (a) </w:t>
      </w:r>
      <w:r>
        <w:rPr>
          <w:rFonts w:ascii="Arial" w:cs="Arial" w:eastAsia="Arial" w:hAnsi="Arial"/>
          <w:b/>
          <w:bCs/>
          <w:i w:val="false"/>
          <w:iCs w:val="false"/>
          <w:color w:val="1A1A1A"/>
          <w:sz w:val="21"/>
          <w:szCs w:val="21"/>
        </w:rPr>
        <w:t xml:space="preserve">NexAI Kalender:</w:t>
      </w:r>
      <w:r>
        <w:rPr>
          <w:rFonts w:ascii="Arial" w:cs="Arial" w:eastAsia="Arial" w:hAnsi="Arial"/>
          <w:b w:val="false"/>
          <w:bCs w:val="false"/>
          <w:i w:val="false"/>
          <w:iCs w:val="false"/>
          <w:color w:val="1A1A1A"/>
          <w:sz w:val="21"/>
          <w:szCs w:val="21"/>
        </w:rPr>
        <w:t xml:space="preserve"> auf einen zweiten, vom Produktivsystem getrennten Server; aufbewahrt werden die jeweils letzten 30 Sicherungen. (b) </w:t>
      </w:r>
      <w:r>
        <w:rPr>
          <w:rFonts w:ascii="Arial" w:cs="Arial" w:eastAsia="Arial" w:hAnsi="Arial"/>
          <w:b/>
          <w:bCs/>
          <w:i w:val="false"/>
          <w:iCs w:val="false"/>
          <w:color w:val="1A1A1A"/>
          <w:sz w:val="21"/>
          <w:szCs w:val="21"/>
        </w:rPr>
        <w:t xml:space="preserve">NexAI Mailagent:</w:t>
      </w:r>
      <w:r>
        <w:rPr>
          <w:rFonts w:ascii="Arial" w:cs="Arial" w:eastAsia="Arial" w:hAnsi="Arial"/>
          <w:b w:val="false"/>
          <w:bCs w:val="false"/>
          <w:i w:val="false"/>
          <w:iCs w:val="false"/>
          <w:color w:val="1A1A1A"/>
          <w:sz w:val="21"/>
          <w:szCs w:val="21"/>
        </w:rPr>
        <w:t xml:space="preserve"> auf einen zweiten, vom Produktivsystem getrennten Server; aufbewahrt werden die jeweils letzten 14 Sicherungen [setzt voraus: Sicherung für die Instanz des Kunden eingerichtet; heute nur für die NexAI-eigene Instanz]. (c) </w:t>
      </w:r>
      <w:r>
        <w:rPr>
          <w:rFonts w:ascii="Arial" w:cs="Arial" w:eastAsia="Arial" w:hAnsi="Arial"/>
          <w:b/>
          <w:bCs/>
          <w:i w:val="false"/>
          <w:iCs w:val="false"/>
          <w:color w:val="1A1A1A"/>
          <w:sz w:val="21"/>
          <w:szCs w:val="21"/>
        </w:rPr>
        <w:t xml:space="preserve">NexAI CRM bei Betrieb durch NexAI:</w:t>
      </w:r>
      <w:r>
        <w:rPr>
          <w:rFonts w:ascii="Arial" w:cs="Arial" w:eastAsia="Arial" w:hAnsi="Arial"/>
          <w:b w:val="false"/>
          <w:bCs w:val="false"/>
          <w:i w:val="false"/>
          <w:iCs w:val="false"/>
          <w:color w:val="1A1A1A"/>
          <w:sz w:val="21"/>
          <w:szCs w:val="21"/>
        </w:rPr>
        <w:t xml:space="preserve"> NexAI sichert die Datenbank des CRM täglich in verschlüsselter Form und bewahrt die jeweils letzten 30 Sicherungen auf. Die Sicherungen liegen derzeit auf dem Server, auf dem das CRM betrieben wird; gegen einen Totalverlust dieses Servers schützen sie nicht. [Geplante Fassung, setzt voraus: Auslagerung auf ein getrenntes System in Deutschland und monatliche automatische Rückspielprobe: „NexAI sichert die Daten des CRM täglich verschlüsselt auf ein von der Produktivumgebung getrenntes System in Deutschland und bewahrt die Sicherungen in der Regel 30 Tage auf.“] (d) </w:t>
      </w:r>
      <w:r>
        <w:rPr>
          <w:rFonts w:ascii="Arial" w:cs="Arial" w:eastAsia="Arial" w:hAnsi="Arial"/>
          <w:b/>
          <w:bCs/>
          <w:i w:val="false"/>
          <w:iCs w:val="false"/>
          <w:color w:val="1A1A1A"/>
          <w:sz w:val="21"/>
          <w:szCs w:val="21"/>
        </w:rPr>
        <w:t xml:space="preserve">NexAI App:</w:t>
      </w:r>
      <w:r>
        <w:rPr>
          <w:rFonts w:ascii="Arial" w:cs="Arial" w:eastAsia="Arial" w:hAnsi="Arial"/>
          <w:b w:val="false"/>
          <w:bCs w:val="false"/>
          <w:i w:val="false"/>
          <w:iCs w:val="false"/>
          <w:color w:val="1A1A1A"/>
          <w:sz w:val="21"/>
          <w:szCs w:val="21"/>
        </w:rPr>
        <w:t xml:space="preserve"> nach den für die Projektanwendung festgelegten Maßnahmen [setzt voraus: Sicherung für die Projektanwendung eingerichtet].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Im Störungsfall stellt NexAI den letzten verfügbaren gesicherten Stand wieder her, soweit dies möglich ist. Daten, die nach der letzten Sicherung entstanden sind, können verloren gehen; für Datenverlust haftet NexAI nach § 12 des Rahmenvertrags. [Geplante Fassung, setzt voraus: monatliche automatische Rückspielprobe und Benachrichtigung bei ausbleibender Sicherung: „Die Wiederherstellbarkeit wird mindestens monatlich automatisch geprüft: Die jüngste Sicherung wird in einer von der Produktivumgebung getrennten Umgebung eingespielt und mit dem gesicherten Bestand abgeglichen; das Ergebnis wird protokolliert. Bleibt eine Sicherung aus oder schlägt die Prüfung fehl, wird NexAI automatisch benachrichtigt.“]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kann seine Daten jederzeit über die Exportfunktion der Anwendung sichern. Für Daten in seinen eigenen Systemen (insbesondere Postfächer, Kalender und selbst betriebene Anwendungen) ist er verantwortlich.</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Gelöschte Daten verbleiben bis zum Ablauf der Aufbewahrung in den Sicherungen (Anlage B, Anhang 3). Nach einer Wiederherstellung zieht NexAI zwischenzeitlich erledigte Löschungen nach.</w:t>
      </w:r>
    </w:p>
    <w:p>
      <w:pPr>
        <w:pStyle w:val="Heading1"/>
        <w:keepNext/>
        <w:spacing w:after="100" w:before="260"/>
      </w:pPr>
      <w:r>
        <w:rPr>
          <w:rFonts w:ascii="Arial" w:cs="Arial" w:eastAsia="Arial" w:hAnsi="Arial"/>
          <w:b/>
          <w:bCs/>
          <w:color w:val="1F3A8A"/>
          <w:sz w:val="24"/>
          <w:szCs w:val="24"/>
        </w:rPr>
        <w:t xml:space="preserve">10.  </w:t>
      </w:r>
      <w:r>
        <w:rPr>
          <w:rFonts w:ascii="Arial" w:cs="Arial" w:eastAsia="Arial" w:hAnsi="Arial"/>
          <w:b/>
          <w:bCs/>
          <w:i w:val="false"/>
          <w:iCs w:val="false"/>
          <w:color w:val="0B0B0F"/>
          <w:sz w:val="24"/>
          <w:szCs w:val="24"/>
        </w:rPr>
        <w:t xml:space="preserve">Drittanbieter und Mitwirkungspflichten des Kunden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Erbringung der Betriebsleistungen setzt die Verfügbarkeit von </w:t>
      </w:r>
      <w:r>
        <w:rPr>
          <w:rFonts w:ascii="Arial" w:cs="Arial" w:eastAsia="Arial" w:hAnsi="Arial"/>
          <w:b/>
          <w:bCs/>
          <w:i w:val="false"/>
          <w:iCs w:val="false"/>
          <w:color w:val="1A1A1A"/>
          <w:sz w:val="21"/>
          <w:szCs w:val="21"/>
        </w:rPr>
        <w:t xml:space="preserve">Subunternehmern und Drittdiensten</w:t>
      </w:r>
      <w:r>
        <w:rPr>
          <w:rFonts w:ascii="Arial" w:cs="Arial" w:eastAsia="Arial" w:hAnsi="Arial"/>
          <w:b w:val="false"/>
          <w:bCs w:val="false"/>
          <w:i w:val="false"/>
          <w:iCs w:val="false"/>
          <w:color w:val="1A1A1A"/>
          <w:sz w:val="21"/>
          <w:szCs w:val="21"/>
        </w:rPr>
        <w:t xml:space="preserve"> voraus (Anlage B, Anhang 2). Für sie haftet NexAI nach § 20 Abs. (2) des Rahmenvertrags.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wirkt bei der Bearbeitung von Störungen im erforderlichen Umfang mit. Dazu gehört insbesondere: die Bereitstellung einer nachvollziehbaren </w:t>
      </w:r>
      <w:r>
        <w:rPr>
          <w:rFonts w:ascii="Arial" w:cs="Arial" w:eastAsia="Arial" w:hAnsi="Arial"/>
          <w:b/>
          <w:bCs/>
          <w:i w:val="false"/>
          <w:iCs w:val="false"/>
          <w:color w:val="1A1A1A"/>
          <w:sz w:val="21"/>
          <w:szCs w:val="21"/>
        </w:rPr>
        <w:t xml:space="preserve">Fehlerbeschreibung</w:t>
      </w:r>
      <w:r>
        <w:rPr>
          <w:rFonts w:ascii="Arial" w:cs="Arial" w:eastAsia="Arial" w:hAnsi="Arial"/>
          <w:b w:val="false"/>
          <w:bCs w:val="false"/>
          <w:i w:val="false"/>
          <w:iCs w:val="false"/>
          <w:color w:val="1A1A1A"/>
          <w:sz w:val="21"/>
          <w:szCs w:val="21"/>
        </w:rPr>
        <w:t xml:space="preserve"> (Zeitpunkt, betroffener Agent, Auswirkung, gegebenenfalls Beispiele und Reproduktionsschritte), die zeitnahe Beantwortung von Rückfragen, die Benennung eines Ansprechpartners sowie die Bereitstellung erforderlicher </w:t>
      </w:r>
      <w:r>
        <w:rPr>
          <w:rFonts w:ascii="Arial" w:cs="Arial" w:eastAsia="Arial" w:hAnsi="Arial"/>
          <w:b/>
          <w:bCs/>
          <w:i w:val="false"/>
          <w:iCs w:val="false"/>
          <w:color w:val="1A1A1A"/>
          <w:sz w:val="21"/>
          <w:szCs w:val="21"/>
        </w:rPr>
        <w:t xml:space="preserve">Zugänge</w:t>
      </w:r>
      <w:r>
        <w:rPr>
          <w:rFonts w:ascii="Arial" w:cs="Arial" w:eastAsia="Arial" w:hAnsi="Arial"/>
          <w:b w:val="false"/>
          <w:bCs w:val="false"/>
          <w:i w:val="false"/>
          <w:iCs w:val="false"/>
          <w:color w:val="1A1A1A"/>
          <w:sz w:val="21"/>
          <w:szCs w:val="21"/>
        </w:rPr>
        <w:t xml:space="preserve">, Informationen und Freigaben.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Verzögerungen und Mehraufwände, die auf eine unzureichende oder verspätete Mitwirkung des Kunden zurückzuführen sind, gehen nicht zu Lasten von NexAI und hemmen den Lauf der Reaktionszeiten (Abschnitt 4.2 Ziffer 4).</w:t>
      </w:r>
    </w:p>
    <w:p>
      <w:pPr>
        <w:pStyle w:val="Heading1"/>
        <w:keepNext/>
        <w:spacing w:after="100" w:before="260"/>
      </w:pPr>
      <w:r>
        <w:rPr>
          <w:rFonts w:ascii="Arial" w:cs="Arial" w:eastAsia="Arial" w:hAnsi="Arial"/>
          <w:b/>
          <w:bCs/>
          <w:color w:val="1F3A8A"/>
          <w:sz w:val="24"/>
          <w:szCs w:val="24"/>
        </w:rPr>
        <w:t xml:space="preserve">11.  </w:t>
      </w:r>
      <w:r>
        <w:rPr>
          <w:rFonts w:ascii="Arial" w:cs="Arial" w:eastAsia="Arial" w:hAnsi="Arial"/>
          <w:b/>
          <w:bCs/>
          <w:i w:val="false"/>
          <w:iCs w:val="false"/>
          <w:color w:val="0B0B0F"/>
          <w:sz w:val="24"/>
          <w:szCs w:val="24"/>
        </w:rPr>
        <w:t xml:space="preserve">Änderungsvorbehalt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Änderungen dieses SLA werden nur wirksam, wenn der Kunde ihnen in Textform zustimmt. Ausgenommen sind Änderungen ausschließlich zugunsten des Kunden; diese teilt NexAI in Textform mit.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Stimmt der Kunde einer Änderung nicht zu, gilt das SLA in der bisherigen Fassung fort; das Recht beider Parteien zur ordentlichen Kündigung bleibt unberührt.</w:t>
      </w:r>
    </w:p>
    <w:p>
      <w:pPr>
        <w:pStyle w:val="Heading1"/>
        <w:keepNext/>
        <w:spacing w:after="100" w:before="260"/>
      </w:pPr>
      <w:r>
        <w:rPr>
          <w:rFonts w:ascii="Arial" w:cs="Arial" w:eastAsia="Arial" w:hAnsi="Arial"/>
          <w:b/>
          <w:bCs/>
          <w:color w:val="1F3A8A"/>
          <w:sz w:val="24"/>
          <w:szCs w:val="24"/>
        </w:rPr>
        <w:t xml:space="preserve">12.  </w:t>
      </w:r>
      <w:r>
        <w:rPr>
          <w:rFonts w:ascii="Arial" w:cs="Arial" w:eastAsia="Arial" w:hAnsi="Arial"/>
          <w:b/>
          <w:bCs/>
          <w:i w:val="false"/>
          <w:iCs w:val="false"/>
          <w:color w:val="0B0B0F"/>
          <w:sz w:val="24"/>
          <w:szCs w:val="24"/>
        </w:rPr>
        <w:t xml:space="preserve">Pflege bei Kauflizenz (Betrieb beim Kunden)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Diese Ziffer gilt für Anwendungen, die der Kunde als Kauflizenz auf eigener Infrastruktur betreibt (Anlage E). Die Ziffern 6, 7, 8 Abs. (1) und 9 gelten für sie nicht.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Mit vereinbarter Pflege</w:t>
      </w:r>
      <w:r>
        <w:rPr>
          <w:rFonts w:ascii="Arial" w:cs="Arial" w:eastAsia="Arial" w:hAnsi="Arial"/>
          <w:b w:val="false"/>
          <w:bCs w:val="false"/>
          <w:i w:val="false"/>
          <w:iCs w:val="false"/>
          <w:color w:val="1A1A1A"/>
          <w:sz w:val="21"/>
          <w:szCs w:val="21"/>
        </w:rPr>
        <w:t xml:space="preserve"> (Anlage E Ziffer 7) gelten die Servicezeiten, Supportkanäle, Prioritäten und Erstreaktionszeiten nach den Ziffern 2 bis 4 entsprechend. P1 liegt vor, wenn die Anwendung beim Kunden vollständig funktionsunfähig ist und die Ursache nicht offensichtlich in der Infrastruktur des Kunden liegt. Störungen, deren Ursache in der Infrastruktur des Kunden liegt, behebt NexAI auf Wunsch nach Aufwand (Ziffer 5.2).</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Ohne Pflege</w:t>
      </w:r>
      <w:r>
        <w:rPr>
          <w:rFonts w:ascii="Arial" w:cs="Arial" w:eastAsia="Arial" w:hAnsi="Arial"/>
          <w:b w:val="false"/>
          <w:bCs w:val="false"/>
          <w:i w:val="false"/>
          <w:iCs w:val="false"/>
          <w:color w:val="1A1A1A"/>
          <w:sz w:val="21"/>
          <w:szCs w:val="21"/>
        </w:rPr>
        <w:t xml:space="preserve"> besteht kein Anspruch auf Support und Reaktionszeiten; Supportleistungen erbringt NexAI dann nach Aufwand. Meldungen von Sicherheitslücken nimmt NexAI in jedem Fall entgegen (Ziffer 3).</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Keine Verfügbarkeitszusage:</w:t>
      </w:r>
      <w:r>
        <w:rPr>
          <w:rFonts w:ascii="Arial" w:cs="Arial" w:eastAsia="Arial" w:hAnsi="Arial"/>
          <w:b w:val="false"/>
          <w:bCs w:val="false"/>
          <w:i w:val="false"/>
          <w:iCs w:val="false"/>
          <w:color w:val="1A1A1A"/>
          <w:sz w:val="21"/>
          <w:szCs w:val="21"/>
        </w:rPr>
        <w:t xml:space="preserve"> Betrieb, Verfügbarkeit, Überwachung und Datensicherung der Infrastruktur und der Anwendung liegen beim Kunden (Anlage E Ziffer 4).</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Sicherheitsaktualisierungen:</w:t>
      </w:r>
      <w:r>
        <w:rPr>
          <w:rFonts w:ascii="Arial" w:cs="Arial" w:eastAsia="Arial" w:hAnsi="Arial"/>
          <w:b w:val="false"/>
          <w:bCs w:val="false"/>
          <w:i w:val="false"/>
          <w:iCs w:val="false"/>
          <w:color w:val="1A1A1A"/>
          <w:sz w:val="21"/>
          <w:szCs w:val="21"/>
        </w:rPr>
        <w:t xml:space="preserve"> Während des Unterstützungszeitraums (Anlage E Ziffer 3) stellt NexAI Sicherheitsaktualisierungen unverzüglich nach Behebung einer Schwachstelle und kostenlos bereit, soweit technisch machbar getrennt von Funktionsaktualisierungen und zusammen mit Hinweisen zu den zu treffenden Maßnahmen (vgl. Verordnung (EU) 2024/2847, Anhang I Teil II Nr. 2 und 8) [setzt voraus: Update-Weg für Kundeninstallationen]. Dies gilt unabhängig davon, ob Pflege vereinbart ist.</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bCs/>
          <w:i w:val="false"/>
          <w:iCs w:val="false"/>
          <w:color w:val="1A1A1A"/>
          <w:sz w:val="21"/>
          <w:szCs w:val="21"/>
        </w:rPr>
        <w:t xml:space="preserve">Wartungszugang:</w:t>
      </w:r>
      <w:r>
        <w:rPr>
          <w:rFonts w:ascii="Arial" w:cs="Arial" w:eastAsia="Arial" w:hAnsi="Arial"/>
          <w:b w:val="false"/>
          <w:bCs w:val="false"/>
          <w:i w:val="false"/>
          <w:iCs w:val="false"/>
          <w:color w:val="1A1A1A"/>
          <w:sz w:val="21"/>
          <w:szCs w:val="21"/>
        </w:rPr>
        <w:t xml:space="preserve"> Installation, Aktualisierung und Störungsbeseitigung erfolgen nach Absprache über den Wartungszugang nach Anlage E Ziffer 5. NexAI dokumentiert jeden Zugriff mit Anlass und Zeitpunkt.</w:t>
      </w:r>
    </w:p>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spacing w:after="20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13.  </w:t>
      </w:r>
      <w:r>
        <w:rPr>
          <w:rFonts w:ascii="Arial" w:cs="Arial" w:eastAsia="Arial" w:hAnsi="Arial"/>
          <w:b/>
          <w:bCs/>
          <w:i w:val="false"/>
          <w:iCs w:val="false"/>
          <w:color w:val="0B0B0F"/>
          <w:sz w:val="24"/>
          <w:szCs w:val="24"/>
        </w:rPr>
        <w:t xml:space="preserve">Unterschriften</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Funktion (Gesellschafter oder in Vollmacht für NexAI)</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Anlage D – Abnahmeprotokoll (Projekt-/Werkleistungen)</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Abnahme einmaliger Werkleistungen gemäß Rahmenvertrag und Auftragsformular</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line="276"/>
        <w:jc w:val="both"/>
      </w:pPr>
      <w:r>
        <w:rPr>
          <w:rFonts w:ascii="Arial" w:cs="Arial" w:eastAsia="Arial" w:hAnsi="Arial"/>
          <w:b w:val="false"/>
          <w:bCs w:val="false"/>
          <w:i w:val="false"/>
          <w:iCs w:val="false"/>
          <w:color w:val="1A1A1A"/>
          <w:sz w:val="21"/>
          <w:szCs w:val="21"/>
        </w:rPr>
        <w:t xml:space="preserve">Dieses Abnahmeprotokoll dokumentiert die Abnahme der von NexAI erbrachten </w:t>
      </w:r>
      <w:r>
        <w:rPr>
          <w:rFonts w:ascii="Arial" w:cs="Arial" w:eastAsia="Arial" w:hAnsi="Arial"/>
          <w:b/>
          <w:bCs/>
          <w:i w:val="false"/>
          <w:iCs w:val="false"/>
          <w:color w:val="1A1A1A"/>
          <w:sz w:val="21"/>
          <w:szCs w:val="21"/>
        </w:rPr>
        <w:t xml:space="preserve">Projektleistungen</w:t>
      </w:r>
      <w:r>
        <w:rPr>
          <w:rFonts w:ascii="Arial" w:cs="Arial" w:eastAsia="Arial" w:hAnsi="Arial"/>
          <w:b w:val="false"/>
          <w:bCs w:val="false"/>
          <w:i w:val="false"/>
          <w:iCs w:val="false"/>
          <w:color w:val="1A1A1A"/>
          <w:sz w:val="21"/>
          <w:szCs w:val="21"/>
        </w:rPr>
        <w:t xml:space="preserve"> (einmalige Werkleistungen, insbesondere die Ersteinrichtung von Agenten und die Einrichtung von Anwendungen) im Sinne der Vertragsdokumente. Es ergänzt den zwischen den Parteien geschlossenen Rahmenvertrag und das zugehörige Auftragsformular/den Leistungsschein und wird nach seiner Unterzeichnung Bestandteil der Vertragsdokumente.</w:t>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Parteien</w:t>
      </w:r>
    </w:p>
    <w:p>
      <w:pPr>
        <w:pStyle w:val="Heading2"/>
        <w:keepNext/>
        <w:spacing w:after="80" w:before="160"/>
      </w:pPr>
      <w:r>
        <w:rPr>
          <w:rFonts w:ascii="Arial" w:cs="Arial" w:eastAsia="Arial" w:hAnsi="Arial"/>
          <w:b/>
          <w:bCs/>
          <w:i w:val="false"/>
          <w:iCs w:val="false"/>
          <w:color w:val="0B0B0F"/>
          <w:sz w:val="21"/>
          <w:szCs w:val="21"/>
        </w:rPr>
        <w:t xml:space="preserve">Auftragnehmer</w:t>
      </w:r>
    </w:p>
    <w:p>
      <w:pPr>
        <w:spacing w:after="120" w:line="276"/>
        <w:jc w:val="both"/>
      </w:pP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jeder allein (§ 720 Abs. 2 BGB), oder durch eine bevollmächtigte Person (Ziffer 16 des Leistungsscheins), E-Mail mbt@nex-a-i.com, Telefon 0176 80714816 — nachfolgend „NexAI".</w:t>
      </w:r>
    </w:p>
    <w:p>
      <w:pPr>
        <w:pStyle w:val="Heading2"/>
        <w:keepNext/>
        <w:spacing w:after="80" w:before="160"/>
      </w:pPr>
      <w:r>
        <w:rPr>
          <w:rFonts w:ascii="Arial" w:cs="Arial" w:eastAsia="Arial" w:hAnsi="Arial"/>
          <w:b/>
          <w:bCs/>
          <w:i w:val="false"/>
          <w:iCs w:val="false"/>
          <w:color w:val="0B0B0F"/>
          <w:sz w:val="21"/>
          <w:szCs w:val="21"/>
        </w:rPr>
        <w:t xml:space="preserve">Kunde</w:t>
      </w:r>
    </w:p>
    <w:p>
      <w:pPr>
        <w:spacing w:after="120"/>
      </w:pPr>
      <w:r>
        <w:rPr>
          <w:rFonts w:ascii="Arial" w:cs="Arial" w:eastAsia="Arial" w:hAnsi="Arial"/>
          <w:b/>
          <w:bCs/>
          <w:color w:val="1A1A1A"/>
          <w:sz w:val="21"/>
          <w:szCs w:val="21"/>
        </w:rPr>
        <w:t xml:space="preserve">Firma: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Ansprechpartner: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E-Mail: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Telefon: </w:t>
      </w:r>
      <w:r>
        <w:rPr>
          <w:rFonts w:ascii="Arial" w:cs="Arial" w:eastAsia="Arial" w:hAnsi="Arial"/>
          <w:color w:val="6B7280"/>
          <w:sz w:val="21"/>
          <w:szCs w:val="21"/>
          <w:u w:val="single"/>
        </w:rPr>
        <w:t xml:space="preserve">                                                </w:t>
      </w:r>
    </w:p>
    <w:p>
      <w:pPr>
        <w:spacing w:after="120" w:line="276"/>
        <w:jc w:val="both"/>
      </w:pPr>
      <w:r>
        <w:rPr>
          <w:rFonts w:ascii="Arial" w:cs="Arial" w:eastAsia="Arial" w:hAnsi="Arial"/>
          <w:b w:val="false"/>
          <w:bCs w:val="false"/>
          <w:i w:val="false"/>
          <w:iCs w:val="false"/>
          <w:color w:val="1A1A1A"/>
          <w:sz w:val="21"/>
          <w:szCs w:val="21"/>
        </w:rPr>
        <w:t xml:space="preserve">— nachfolgend „Kunde".</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Projekt-/Feldangaben</w:t>
      </w:r>
    </w:p>
    <w:p>
      <w:pPr>
        <w:spacing w:after="120"/>
      </w:pPr>
      <w:r>
        <w:rPr>
          <w:rFonts w:ascii="Arial" w:cs="Arial" w:eastAsia="Arial" w:hAnsi="Arial"/>
          <w:b/>
          <w:bCs/>
          <w:color w:val="1A1A1A"/>
          <w:sz w:val="21"/>
          <w:szCs w:val="21"/>
        </w:rPr>
        <w:t xml:space="preserve">Projekt / Bezeichnung: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Auftragsformular / Leistungsschein Nr.: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Projektbeginn: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Datum Fertigstellungsanzeige: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Abnahmedatum: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Ort der Abnahme: </w:t>
      </w:r>
      <w:r>
        <w:rPr>
          <w:rFonts w:ascii="Arial" w:cs="Arial" w:eastAsia="Arial" w:hAnsi="Arial"/>
          <w:color w:val="6B7280"/>
          <w:sz w:val="21"/>
          <w:szCs w:val="21"/>
          <w:u w:val="single"/>
        </w:rPr>
        <w:t xml:space="preserve">                                                </w:t>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Gegenstand der Abnahme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Gegenstand dieses Protokolls ist die Abnahme der im vorgenannten Auftragsformular/Leistungsschein sowie in Anlage A (Leistungsbeschreibung) beschriebenen Projektleistungen. Es gelten ergänzend die Regelungen des Rahmenvertrages, insbesondere zu Abnahme, Vergütung und Gewährleistung, sowie der AGB (B2B).</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Projektleistungen unterliegen dem Werkvertragsrecht (§§ 631 ff. BGB). Laufende Betriebsleistungen (Betrieb, Wartung, Hosting und Support der Agenten und der von NexAI betriebenen Anwendungen) sind nicht Gegenstand dieser Abnahme; sie richten sich nach § 3 Abs. (2) des Rahmenvertrages und der Anlage C (SLA).</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Maßgeblich für den geschuldeten Leistungsumfang sind die vertraglich vereinbarten Spezifikationen gemäß Auftragsformular und Anlage A (Leistungsbeschreibung). Ergänzungs- oder Änderungswünsche außerhalb dieses Umfangs werden gesondert beauftragt und abgerechnet.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Werden mehrere Projektleistungen zu unterschiedlichen Zeitpunkten fertiggestellt, kann die Abnahme in sich abgeschlossener Teilleistungen mittels gesondertem Protokoll erfolgen (Teilabnahme); die Regelungen dieses Protokolls gelten für Teilabnahmen entsprechend.</w:t>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Gelieferte Leistungen</w:t>
      </w:r>
    </w:p>
    <w:p>
      <w:pPr>
        <w:spacing w:after="120" w:line="276"/>
        <w:jc w:val="both"/>
      </w:pPr>
      <w:r>
        <w:rPr>
          <w:rFonts w:ascii="Arial" w:cs="Arial" w:eastAsia="Arial" w:hAnsi="Arial"/>
          <w:b w:val="false"/>
          <w:bCs w:val="false"/>
          <w:i w:val="false"/>
          <w:iCs w:val="false"/>
          <w:color w:val="1A1A1A"/>
          <w:sz w:val="21"/>
          <w:szCs w:val="21"/>
        </w:rPr>
        <w:t xml:space="preserve">Die nachfolgend angekreuzten Leistungen wurden erbracht und werden zur Abnahme vorgelegt: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Voice Agent (KI-Telefonassistent)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Chat Agent (Website-/Messaging-Chatbot)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NexAI CRM (Installation und Inbetriebnahme; bei Kauflizenz auf der Infrastruktur des Kunden)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NexAI Kalender (Einrichtung und Inbetriebnahme)</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NexAI Mailagent (Einrichtung: Postfach angebunden und Probeabruf erfolgreich, Hausregeln, Signatur und Faktenverzeichnis hinterlegt, Einweisung erfolgt)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Terminbuchung / Kalender-Automatisierung</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CRM-Anbindung</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Kalender-Integration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Google Sheets / Tabellen-Integration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E-Mail-Automatisierung</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API-Integration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Workflow-Automatisierung</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NexAI App / individuelle Anwendung (Einrichtung und Bereitstellung)</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Individuelle Entwicklung / individueller KI-Agent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Sonstige:</w:t>
      </w:r>
    </w:p>
    <w:p>
      <w:pPr>
        <w:spacing w:after="120"/>
      </w:pPr>
      <w:r>
        <w:rPr>
          <w:rFonts w:ascii="Arial" w:cs="Arial" w:eastAsia="Arial" w:hAnsi="Arial"/>
          <w:b/>
          <w:bCs/>
          <w:color w:val="1A1A1A"/>
          <w:sz w:val="21"/>
          <w:szCs w:val="21"/>
        </w:rPr>
        <w:t xml:space="preserve">Sonstige (Beschreibung): </w:t>
      </w:r>
      <w:r>
        <w:rPr>
          <w:rFonts w:ascii="Arial" w:cs="Arial" w:eastAsia="Arial" w:hAnsi="Arial"/>
          <w:color w:val="6B7280"/>
          <w:sz w:val="21"/>
          <w:szCs w:val="21"/>
          <w:u w:val="single"/>
        </w:rPr>
        <w:t xml:space="preserve">                                                </w:t>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Dokumentation und Übergabe</w:t>
      </w:r>
    </w:p>
    <w:p>
      <w:pPr>
        <w:spacing w:after="120" w:line="276"/>
        <w:jc w:val="both"/>
      </w:pPr>
      <w:r>
        <w:rPr>
          <w:rFonts w:ascii="Arial" w:cs="Arial" w:eastAsia="Arial" w:hAnsi="Arial"/>
          <w:b w:val="false"/>
          <w:bCs w:val="false"/>
          <w:i w:val="false"/>
          <w:iCs w:val="false"/>
          <w:color w:val="1A1A1A"/>
          <w:sz w:val="21"/>
          <w:szCs w:val="21"/>
        </w:rPr>
        <w:t xml:space="preserve">Im Rahmen der Übergabe wurden die nachfolgend angekreuzten Positionen bereitgestellt: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Zugangsdaten / Zugänge übergeben bzw. eingerichtet (soweit vereinbart; Accounts und Infrastruktur laufen im Übrigen als Betriebsmittel über NexAI, ohne Herausgabeanspruch des Kunden; bei der Kauflizenz gilt Anlage E)</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Einweisung / Schulung des Kunden durchgeführt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Dokumentation / Bedienhinweise übergeben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KI-Kennzeichnung / Transparenzhinweise (Art. 50 KI-VO) eingerichtet und aktiv</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Support-Ansprechpartner benannt</w:t>
      </w:r>
    </w:p>
    <w:p>
      <w:pPr>
        <w:spacing w:after="120"/>
      </w:pPr>
      <w:r>
        <w:rPr>
          <w:rFonts w:ascii="Arial" w:cs="Arial" w:eastAsia="Arial" w:hAnsi="Arial"/>
          <w:b/>
          <w:bCs/>
          <w:color w:val="1A1A1A"/>
          <w:sz w:val="21"/>
          <w:szCs w:val="21"/>
        </w:rPr>
        <w:t xml:space="preserve">Support-Ansprechpartner: </w:t>
      </w:r>
      <w:r>
        <w:rPr>
          <w:rFonts w:ascii="Arial" w:cs="Arial" w:eastAsia="Arial" w:hAnsi="Arial"/>
          <w:color w:val="6B7280"/>
          <w:sz w:val="21"/>
          <w:szCs w:val="21"/>
          <w:u w:val="single"/>
        </w:rPr>
        <w:t xml:space="preserve">                                                </w:t>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Restarbeiten</w:t>
      </w:r>
    </w:p>
    <w:p>
      <w:pPr>
        <w:spacing w:after="120" w:line="276"/>
        <w:jc w:val="both"/>
      </w:pPr>
      <w:r>
        <w:rPr>
          <w:rFonts w:ascii="Arial" w:cs="Arial" w:eastAsia="Arial" w:hAnsi="Arial"/>
          <w:b w:val="false"/>
          <w:bCs w:val="false"/>
          <w:i w:val="false"/>
          <w:iCs w:val="false"/>
          <w:color w:val="1A1A1A"/>
          <w:sz w:val="21"/>
          <w:szCs w:val="21"/>
        </w:rPr>
        <w:t xml:space="preserve">Bestehen zum Zeitpunkt der Abnahme noch offene Restarbeiten?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Nein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Ja – nachfolgend beschrieben, mit vereinbarter Erledigungsfrist</w:t>
      </w:r>
    </w:p>
    <w:p>
      <w:pPr>
        <w:spacing w:after="120"/>
      </w:pPr>
      <w:r>
        <w:rPr>
          <w:rFonts w:ascii="Arial" w:cs="Arial" w:eastAsia="Arial" w:hAnsi="Arial"/>
          <w:b/>
          <w:bCs/>
          <w:color w:val="1A1A1A"/>
          <w:sz w:val="21"/>
          <w:szCs w:val="21"/>
        </w:rPr>
        <w:t xml:space="preserve">Beschreibung der Restarbeiten: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Erledigung bis: </w:t>
      </w:r>
      <w:r>
        <w:rPr>
          <w:rFonts w:ascii="Arial" w:cs="Arial" w:eastAsia="Arial" w:hAnsi="Arial"/>
          <w:color w:val="6B7280"/>
          <w:sz w:val="21"/>
          <w:szCs w:val="21"/>
          <w:u w:val="single"/>
        </w:rPr>
        <w:t xml:space="preserve">                                                </w:t>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Mängel</w:t>
      </w:r>
    </w:p>
    <w:p>
      <w:pPr>
        <w:spacing w:after="120" w:line="276"/>
        <w:jc w:val="both"/>
      </w:pPr>
      <w:r>
        <w:rPr>
          <w:rFonts w:ascii="Arial" w:cs="Arial" w:eastAsia="Arial" w:hAnsi="Arial"/>
          <w:b w:val="false"/>
          <w:bCs w:val="false"/>
          <w:i w:val="false"/>
          <w:iCs w:val="false"/>
          <w:color w:val="1A1A1A"/>
          <w:sz w:val="21"/>
          <w:szCs w:val="21"/>
        </w:rPr>
        <w:t xml:space="preserve">Bestehen zum Zeitpunkt der Abnahme Mängel?</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Nein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Ja – nachfolgend beschrieben</w:t>
      </w:r>
    </w:p>
    <w:p>
      <w:pPr>
        <w:spacing w:after="120"/>
      </w:pPr>
      <w:r>
        <w:rPr>
          <w:rFonts w:ascii="Arial" w:cs="Arial" w:eastAsia="Arial" w:hAnsi="Arial"/>
          <w:b/>
          <w:bCs/>
          <w:color w:val="1A1A1A"/>
          <w:sz w:val="21"/>
          <w:szCs w:val="21"/>
        </w:rPr>
        <w:t xml:space="preserve">Beschreibung der Mängel: </w:t>
      </w:r>
      <w:r>
        <w:rPr>
          <w:rFonts w:ascii="Arial" w:cs="Arial" w:eastAsia="Arial" w:hAnsi="Arial"/>
          <w:color w:val="6B7280"/>
          <w:sz w:val="21"/>
          <w:szCs w:val="21"/>
          <w:u w:val="single"/>
        </w:rPr>
        <w:t xml:space="preserve">                                                </w:t>
      </w:r>
    </w:p>
    <w:p>
      <w:pPr>
        <w:spacing w:after="120" w:line="276"/>
        <w:jc w:val="both"/>
      </w:pPr>
      <w:r>
        <w:rPr>
          <w:rFonts w:ascii="Arial" w:cs="Arial" w:eastAsia="Arial" w:hAnsi="Arial"/>
          <w:b w:val="false"/>
          <w:bCs w:val="false"/>
          <w:i w:val="false"/>
          <w:iCs w:val="false"/>
          <w:color w:val="1A1A1A"/>
          <w:sz w:val="21"/>
          <w:szCs w:val="21"/>
        </w:rPr>
        <w:t xml:space="preserve">Etwaige vorbehaltene Mängel sind vorstehend konkret zu bezeichnen. Nimmt der Kunde ab, obwohl er einen Mangel kennt, stehen ihm Nacherfüllung, Selbstvornahme, Rücktritt und Minderung (§ 634 Nr. 1 bis 3 BGB) wegen dieses Mangels nur zu, wenn er ihn vorstehend vorbehält (§ 640 Abs. 3 BGB); Schadensersatz bleibt unberührt.</w:t>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Abnahmeerklärung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bestätigt mit seiner Unterschrift, dass die vorgelegten Projektleistungen abgenommen werden. Die Parteien sind sich einig, dass die Leistungen im Wesentlichen vertragsgemäß erbracht wurden.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Unwesentliche Mängel</w:t>
      </w:r>
      <w:r>
        <w:rPr>
          <w:rFonts w:ascii="Arial" w:cs="Arial" w:eastAsia="Arial" w:hAnsi="Arial"/>
          <w:b w:val="false"/>
          <w:bCs w:val="false"/>
          <w:i w:val="false"/>
          <w:iCs w:val="false"/>
          <w:color w:val="1A1A1A"/>
          <w:sz w:val="21"/>
          <w:szCs w:val="21"/>
        </w:rPr>
        <w:t xml:space="preserve"> berechtigen den Kunden nicht zur Verweigerung der Abnahme (§ 640 Abs. 1 Satz 2 BGB). Etwaige unter Ziffer 6 (Restarbeiten) und Ziffer 7 (Mängel) bezeichnete Positionen werden von NexAI im vereinbarten Rahmen und innerhalb angemessener Frist nachgeholt bzw. beseitigt; die diesbezüglichen Gewährleistungsrechte des Kunden bleiben unberührt.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Abnahmefiktion (§ 640 Abs. 2 BGB):</w:t>
      </w:r>
      <w:r>
        <w:rPr>
          <w:rFonts w:ascii="Arial" w:cs="Arial" w:eastAsia="Arial" w:hAnsi="Arial"/>
          <w:b w:val="false"/>
          <w:bCs w:val="false"/>
          <w:i w:val="false"/>
          <w:iCs w:val="false"/>
          <w:color w:val="1A1A1A"/>
          <w:sz w:val="21"/>
          <w:szCs w:val="21"/>
        </w:rPr>
        <w:t xml:space="preserve"> Zeigt NexAI die Fertigstellung der Werkleistung in Textform an und verweigert der Kunde die Abnahme nicht binnen einer </w:t>
      </w:r>
      <w:r>
        <w:rPr>
          <w:rFonts w:ascii="Arial" w:cs="Arial" w:eastAsia="Arial" w:hAnsi="Arial"/>
          <w:b/>
          <w:bCs/>
          <w:i w:val="false"/>
          <w:iCs w:val="false"/>
          <w:color w:val="1A1A1A"/>
          <w:sz w:val="21"/>
          <w:szCs w:val="21"/>
        </w:rPr>
        <w:t xml:space="preserve">Frist von zehn (10) Werktagen</w:t>
      </w:r>
      <w:r>
        <w:rPr>
          <w:rFonts w:ascii="Arial" w:cs="Arial" w:eastAsia="Arial" w:hAnsi="Arial"/>
          <w:b w:val="false"/>
          <w:bCs w:val="false"/>
          <w:i w:val="false"/>
          <w:iCs w:val="false"/>
          <w:color w:val="1A1A1A"/>
          <w:sz w:val="21"/>
          <w:szCs w:val="21"/>
        </w:rPr>
        <w:t xml:space="preserve"> unter Angabe mindestens eines Mangels, gilt die Werkleistung als abgenommen. Gleiches gilt, wenn der Kunde die Leistung nach der Fertigstellungsanzeige zehn (10) Werktage produktiv nutzt, ohne einen wesentlichen Mangel zu rügen (§ 3 Ziffer (1) Abs. (2) des Rahmenvertrages). Auf diese Rechtsfolgen weist NexAI den Kunden in der Fertigstellungsanzeige gesondert hin.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Verjährung:</w:t>
      </w:r>
      <w:r>
        <w:rPr>
          <w:rFonts w:ascii="Arial" w:cs="Arial" w:eastAsia="Arial" w:hAnsi="Arial"/>
          <w:b w:val="false"/>
          <w:bCs w:val="false"/>
          <w:i w:val="false"/>
          <w:iCs w:val="false"/>
          <w:color w:val="1A1A1A"/>
          <w:sz w:val="21"/>
          <w:szCs w:val="21"/>
        </w:rPr>
        <w:t xml:space="preserve"> Die Verjährungsfrist für Mängelansprüche hinsichtlich der abgenommenen Werkleistungen beträgt </w:t>
      </w:r>
      <w:r>
        <w:rPr>
          <w:rFonts w:ascii="Arial" w:cs="Arial" w:eastAsia="Arial" w:hAnsi="Arial"/>
          <w:b/>
          <w:bCs/>
          <w:i w:val="false"/>
          <w:iCs w:val="false"/>
          <w:color w:val="1A1A1A"/>
          <w:sz w:val="21"/>
          <w:szCs w:val="21"/>
        </w:rPr>
        <w:t xml:space="preserve">ein (1) Jahr</w:t>
      </w:r>
      <w:r>
        <w:rPr>
          <w:rFonts w:ascii="Arial" w:cs="Arial" w:eastAsia="Arial" w:hAnsi="Arial"/>
          <w:b w:val="false"/>
          <w:bCs w:val="false"/>
          <w:i w:val="false"/>
          <w:iCs w:val="false"/>
          <w:color w:val="1A1A1A"/>
          <w:sz w:val="21"/>
          <w:szCs w:val="21"/>
        </w:rPr>
        <w:t xml:space="preserve"> ab dem gesetzlichen Verjährungsbeginn (§ 3 Ziffer (1) Abs. (3) des Rahmenvertrages); soweit das Gesetz den Beginn an die Abnahme knüpft (§ 634a Abs. 2 BGB), steht die Abnahmefiktion nach vorstehender Ziffer (3) und eine Teilabnahme nach Ziffer 3 (4) der Abnahme gleich. Die Ausnahmen des Rahmenvertrages (Verletzung des Lebens, des Körpers oder der Gesundheit, Vorsatz, grobe Fahrlässigkeit, Arglist, Garantie, Produkthaftungsgesetz) bleiben unberührt.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Mit der Abnahme geht die Gefahr auf den Kunden über und die Vergütung für die abgenommenen Projektleistungen wird gemäß den Regelungen der Vertragsdokumente fällig. Die Abnahme lässt die vertraglich vereinbarten Vergütungs-, Haftungs- und sonstigen Regelungen der Vertragsdokumente im Übrigen unberührt.</w:t>
      </w:r>
    </w:p>
    <w:p>
      <w:pPr>
        <w:spacing w:after="24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Funktion (Gesellschafter oder Vertriebsleitung in Vollmacht für NexAI)</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p>
      <w:pPr>
        <w:spacing w:after="20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SEPA-Firmenlastschriftmandat (B2B)</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Mandat für wiederkehrende Zahlungen im SEPA-Firmenlastschriftverfahren (SEPA Business-to-Business Direct Debit Mandate)</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Dieses Mandat ergänzt den zwischen NexAI und dem Kunden geschlossenen Rahmenvertrag sowie das zugehörige Auftragsformular/den Leistungsschein. Es berechtigt NexAI, die dort vereinbarten wiederkehrenden Beiträge (monatlicher bzw. jährlicher Beitrag) sowie den abgerechneten Mehrverbrauch (Overage) im Wege der SEPA-Firmenlastschrift von dem nachstehend bezeichneten Konto des Kunden einzuziehen. Im Übrigen gelten die Zahlungsbestimmungen des Rahmenvertrages und der AGB (B2B) fort.</w:t>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Zahlungsempfänger / Gläubiger</w:t>
      </w:r>
    </w:p>
    <w:p>
      <w:pPr>
        <w:spacing w:after="120" w:line="276"/>
        <w:jc w:val="both"/>
      </w:pP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E-Mail: mbt@nex-a-i.com · Telefon: 0176 80714816
— nachfolgend "NexAI" oder "Gläubiger" —</w:t>
      </w:r>
    </w:p>
    <w:p>
      <w:pPr>
        <w:spacing w:after="120"/>
      </w:pPr>
      <w:r>
        <w:rPr>
          <w:rFonts w:ascii="Arial" w:cs="Arial" w:eastAsia="Arial" w:hAnsi="Arial"/>
          <w:b/>
          <w:bCs/>
          <w:color w:val="1A1A1A"/>
          <w:sz w:val="21"/>
          <w:szCs w:val="21"/>
        </w:rPr>
        <w:t xml:space="preserve">Gläubiger-Identifikationsnummer (Creditor Identifier): </w:t>
      </w:r>
      <w:r>
        <w:rPr>
          <w:rFonts w:ascii="Arial" w:cs="Arial" w:eastAsia="Arial" w:hAnsi="Arial"/>
          <w:color w:val="1A1A1A"/>
          <w:sz w:val="21"/>
          <w:szCs w:val="21"/>
        </w:rPr>
        <w:t xml:space="preserve">____</w:t>
      </w:r>
    </w:p>
    <w:p>
      <w:pPr>
        <w:spacing w:after="120"/>
      </w:pPr>
      <w:r>
        <w:rPr>
          <w:rFonts w:ascii="Arial" w:cs="Arial" w:eastAsia="Arial" w:hAnsi="Arial"/>
          <w:b/>
          <w:bCs/>
          <w:color w:val="1A1A1A"/>
          <w:sz w:val="21"/>
          <w:szCs w:val="21"/>
        </w:rPr>
        <w:t xml:space="preserve">Mandatsreferenz: </w:t>
      </w:r>
      <w:r>
        <w:rPr>
          <w:rFonts w:ascii="Arial" w:cs="Arial" w:eastAsia="Arial" w:hAnsi="Arial"/>
          <w:color w:val="1A1A1A"/>
          <w:sz w:val="21"/>
          <w:szCs w:val="21"/>
        </w:rPr>
        <w:t xml:space="preserve">____</w:t>
      </w:r>
    </w:p>
    <w:p>
      <w:pPr>
        <w:spacing w:after="140" w:before="80"/>
      </w:pPr>
      <w:r>
        <w:rPr>
          <w:rFonts w:ascii="Arial" w:cs="Arial" w:eastAsia="Arial" w:hAnsi="Arial"/>
          <w:b w:val="false"/>
          <w:bCs w:val="false"/>
          <w:i/>
          <w:iCs/>
          <w:color w:val="6B7280"/>
          <w:sz w:val="18"/>
          <w:szCs w:val="18"/>
        </w:rPr>
        <w:t xml:space="preserve">Wird die Mandatsreferenz bei Mandatserteilung noch nicht vergeben, teilt NexAI sie dem Kunden spätestens mit der ersten Vorabankündigung (Pre-Notification) gesondert in Textform mit. Die Mandatsreferenz bildet zusammen mit der Gläubiger-Identifikationsnummer die eindeutige Kennung dieses Mandats.</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Zahler / Kunde</w:t>
      </w:r>
    </w:p>
    <w:p>
      <w:pPr>
        <w:spacing w:after="120"/>
      </w:pPr>
      <w:r>
        <w:rPr>
          <w:rFonts w:ascii="Arial" w:cs="Arial" w:eastAsia="Arial" w:hAnsi="Arial"/>
          <w:b/>
          <w:bCs/>
          <w:color w:val="1A1A1A"/>
          <w:sz w:val="21"/>
          <w:szCs w:val="21"/>
        </w:rPr>
        <w:t xml:space="preserve">Name / Firma des Zahlers (Kontoinhaber):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(Straße, Hausnummer):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PLZ, Ort, Land: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Kreditinstitut (Name der Bank):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IBAN: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BIC: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Der Zahler ist Nichtverbraucher (Unternehmer, juristische Person oder rechtsfähige Personengesellschaft) und damit zur Teilnahme am SEPA-Firmenlastschriftverfahren zugelassen. Das Firmenlastschriftverfahren ist Verbrauchern nicht eröffnet. Ist der Kontoinhaber nicht mit dem Kunden aus dem Rahmenvertrag identisch, sichert der Kunde zu, zur Erteilung dieses Mandats über das vorstehende Konto berechtigt zu sein.</w:t>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Mandatstext (SEPA-Firmenlastschrift)</w:t>
      </w:r>
    </w:p>
    <w:p>
      <w:pPr>
        <w:spacing w:after="120" w:line="276"/>
        <w:jc w:val="both"/>
      </w:pPr>
      <w:r>
        <w:rPr>
          <w:rFonts w:ascii="Arial" w:cs="Arial" w:eastAsia="Arial" w:hAnsi="Arial"/>
          <w:b w:val="false"/>
          <w:bCs w:val="false"/>
          <w:i w:val="false"/>
          <w:iCs w:val="false"/>
          <w:color w:val="1A1A1A"/>
          <w:sz w:val="21"/>
          <w:szCs w:val="21"/>
        </w:rPr>
        <w:t xml:space="preserve">Ich/Wir ermächtige(n) NexAI, Zahlungen von meinem/unserem vorstehend bezeichneten Konto mittels </w:t>
      </w:r>
      <w:r>
        <w:rPr>
          <w:rFonts w:ascii="Arial" w:cs="Arial" w:eastAsia="Arial" w:hAnsi="Arial"/>
          <w:b/>
          <w:bCs/>
          <w:i w:val="false"/>
          <w:iCs w:val="false"/>
          <w:color w:val="1A1A1A"/>
          <w:sz w:val="21"/>
          <w:szCs w:val="21"/>
        </w:rPr>
        <w:t xml:space="preserve">SEPA-Firmenlastschrift</w:t>
      </w:r>
      <w:r>
        <w:rPr>
          <w:rFonts w:ascii="Arial" w:cs="Arial" w:eastAsia="Arial" w:hAnsi="Arial"/>
          <w:b w:val="false"/>
          <w:bCs w:val="false"/>
          <w:i w:val="false"/>
          <w:iCs w:val="false"/>
          <w:color w:val="1A1A1A"/>
          <w:sz w:val="21"/>
          <w:szCs w:val="21"/>
        </w:rPr>
        <w:t xml:space="preserve"> einzuziehen. Zugleich weise(n) ich/wir mein/unser Kreditinstitut an, die von NexAI auf mein/unser Konto gezogenen SEPA-Firmenlastschriften einzulösen.</w:t>
      </w:r>
    </w:p>
    <w:p>
      <w:pPr>
        <w:spacing w:after="120" w:line="276"/>
        <w:jc w:val="both"/>
      </w:pPr>
      <w:r>
        <w:rPr>
          <w:rFonts w:ascii="Arial" w:cs="Arial" w:eastAsia="Arial" w:hAnsi="Arial"/>
          <w:b w:val="false"/>
          <w:bCs w:val="false"/>
          <w:i w:val="false"/>
          <w:iCs w:val="false"/>
          <w:color w:val="1A1A1A"/>
          <w:sz w:val="21"/>
          <w:szCs w:val="21"/>
        </w:rPr>
        <w:t xml:space="preserve">Dieses Mandat gilt für </w:t>
      </w:r>
      <w:r>
        <w:rPr>
          <w:rFonts w:ascii="Arial" w:cs="Arial" w:eastAsia="Arial" w:hAnsi="Arial"/>
          <w:b/>
          <w:bCs/>
          <w:i w:val="false"/>
          <w:iCs w:val="false"/>
          <w:color w:val="1A1A1A"/>
          <w:sz w:val="21"/>
          <w:szCs w:val="21"/>
        </w:rPr>
        <w:t xml:space="preserve">wiederkehrende Zahlungen</w:t>
      </w:r>
      <w:r>
        <w:rPr>
          <w:rFonts w:ascii="Arial" w:cs="Arial" w:eastAsia="Arial" w:hAnsi="Arial"/>
          <w:b w:val="false"/>
          <w:bCs w:val="false"/>
          <w:i w:val="false"/>
          <w:iCs w:val="false"/>
          <w:color w:val="1A1A1A"/>
          <w:sz w:val="21"/>
          <w:szCs w:val="21"/>
        </w:rPr>
        <w:t xml:space="preserve"> – insbesondere die vereinbarten monatlichen bzw. jährlichen Beiträge sowie den abgerechneten Mehrverbrauch (Overage) – und bleibt bis auf Widerruf gültig.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Kein Erstattungsanspruch nach Einlösung:</w:t>
      </w:r>
      <w:r>
        <w:rPr>
          <w:rFonts w:ascii="Arial" w:cs="Arial" w:eastAsia="Arial" w:hAnsi="Arial"/>
          <w:b w:val="false"/>
          <w:bCs w:val="false"/>
          <w:i w:val="false"/>
          <w:iCs w:val="false"/>
          <w:color w:val="1A1A1A"/>
          <w:sz w:val="21"/>
          <w:szCs w:val="21"/>
        </w:rPr>
        <w:t xml:space="preserve"> Im SEPA-Firmenlastschriftverfahren besteht – anders als bei der SEPA-Basislastschrift – nach erfolgter Einlösung kein Anspruch auf Erstattung des belasteten Betrages. Mit Belastung meines/unseres Kontos ist die Zahlung endgültig; ein Erstattungsverlangen ist ausgeschlossen (§ 675x Abs. 1 i. V. m. § 675e Abs. 4 BGB). Einwendungen gegen die Berechtigung der Forderung sind unmittelbar gegenüber NexAI geltend zu machen und lassen die Endgültigkeit der Zahlung unberührt.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Registrierungspflicht bei der Bank:</w:t>
      </w:r>
      <w:r>
        <w:rPr>
          <w:rFonts w:ascii="Arial" w:cs="Arial" w:eastAsia="Arial" w:hAnsi="Arial"/>
          <w:b w:val="false"/>
          <w:bCs w:val="false"/>
          <w:i w:val="false"/>
          <w:iCs w:val="false"/>
          <w:color w:val="1A1A1A"/>
          <w:sz w:val="21"/>
          <w:szCs w:val="21"/>
        </w:rPr>
        <w:t xml:space="preserve"> Ich/Wir verpflichte(n) mich/uns, dieses Mandat unverzüglich, spätestens jedoch vor dem ersten Einzug, bei meinem/unserem Kreditinstitut zu bestätigen bzw. registrieren zu lassen. Ohne diese Registrierung kann die Bank den Einzug zurückweisen; hierdurch bedingte Rücklastschriften, Kosten und Verzögerungen gehen zu Lasten des Zahlers (Abschnitt 5).</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Prüfung durch die Bank:</w:t>
      </w:r>
      <w:r>
        <w:rPr>
          <w:rFonts w:ascii="Arial" w:cs="Arial" w:eastAsia="Arial" w:hAnsi="Arial"/>
          <w:b w:val="false"/>
          <w:bCs w:val="false"/>
          <w:i w:val="false"/>
          <w:iCs w:val="false"/>
          <w:color w:val="1A1A1A"/>
          <w:sz w:val="21"/>
          <w:szCs w:val="21"/>
        </w:rPr>
        <w:t xml:space="preserve"> Mein/Unser Kreditinstitut ist nicht verpflichtet, die Lastschrift einzulösen, insbesondere wenn das Konto nicht die erforderliche Deckung aufweist. Eine nur teilweise Einlösung erfolgt nicht.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Änderungen der Kontoverbindung:</w:t>
      </w:r>
      <w:r>
        <w:rPr>
          <w:rFonts w:ascii="Arial" w:cs="Arial" w:eastAsia="Arial" w:hAnsi="Arial"/>
          <w:b w:val="false"/>
          <w:bCs w:val="false"/>
          <w:i w:val="false"/>
          <w:iCs w:val="false"/>
          <w:color w:val="1A1A1A"/>
          <w:sz w:val="21"/>
          <w:szCs w:val="21"/>
        </w:rPr>
        <w:t xml:space="preserve"> Änderungen der Kontoverbindung (IBAN, BIC, Kreditinstitut) oder der Kontoinhaberschaft sind NexAI unverzüglich in Textform mitzuteilen. Bei Änderung der Kontoverbindung ist auf Verlangen von NexAI ein neues Mandat zu erteilen.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Widerruf:</w:t>
      </w:r>
      <w:r>
        <w:rPr>
          <w:rFonts w:ascii="Arial" w:cs="Arial" w:eastAsia="Arial" w:hAnsi="Arial"/>
          <w:b w:val="false"/>
          <w:bCs w:val="false"/>
          <w:i w:val="false"/>
          <w:iCs w:val="false"/>
          <w:color w:val="1A1A1A"/>
          <w:sz w:val="21"/>
          <w:szCs w:val="21"/>
        </w:rPr>
        <w:t xml:space="preserve"> Das Mandat kann jederzeit mit Wirkung für die Zukunft widerrufen werden. Der Widerruf ist gegenüber NexAI in Textform (z. B. E-Mail an mbt@nex-a-i.com) zu erklären; er lässt bereits fällige oder bereits eingezogene Forderungen sowie die Zahlungspflicht aus dem Rahmenvertrag unberührt. Bei Wegfall des Mandats erfolgt die Zahlung per Überweisung nach Abschnitt 6.</w:t>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Vorabankündigung (Pre-Notification)</w:t>
      </w:r>
    </w:p>
    <w:p>
      <w:pPr>
        <w:spacing w:after="120" w:line="276"/>
        <w:jc w:val="both"/>
      </w:pPr>
      <w:r>
        <w:rPr>
          <w:rFonts w:ascii="Arial" w:cs="Arial" w:eastAsia="Arial" w:hAnsi="Arial"/>
          <w:b w:val="false"/>
          <w:bCs w:val="false"/>
          <w:i w:val="false"/>
          <w:iCs w:val="false"/>
          <w:color w:val="1A1A1A"/>
          <w:sz w:val="21"/>
          <w:szCs w:val="21"/>
        </w:rPr>
        <w:t xml:space="preserve">NexAI kündigt jeden Einzug per SEPA-Firmenlastschrift vorab an (Pre-Notification). Die Frist für die Vorabankündigung wird einvernehmlich auf </w:t>
      </w:r>
      <w:r>
        <w:rPr>
          <w:rFonts w:ascii="Arial" w:cs="Arial" w:eastAsia="Arial" w:hAnsi="Arial"/>
          <w:b/>
          <w:bCs/>
          <w:i w:val="false"/>
          <w:iCs w:val="false"/>
          <w:color w:val="1A1A1A"/>
          <w:sz w:val="21"/>
          <w:szCs w:val="21"/>
        </w:rPr>
        <w:t xml:space="preserve">einen (1) Kalendertag</w:t>
      </w:r>
      <w:r>
        <w:rPr>
          <w:rFonts w:ascii="Arial" w:cs="Arial" w:eastAsia="Arial" w:hAnsi="Arial"/>
          <w:b w:val="false"/>
          <w:bCs w:val="false"/>
          <w:i w:val="false"/>
          <w:iCs w:val="false"/>
          <w:color w:val="1A1A1A"/>
          <w:sz w:val="21"/>
          <w:szCs w:val="21"/>
        </w:rPr>
        <w:t xml:space="preserve"> vor Fälligkeit verkürzt. Die Vorabankündigung kann in Textform erfolgen, insbesondere per E-Mail oder als Bestandteil der Rechnung, und enthält Betrag und Fälligkeitsdatum. Bei wiederkehrenden Beiträgen gleichbleibender Höhe genügt eine einmalige Vorabankündigung unter Angabe von Betrag, Fälligkeitsturnus und Mandatsreferenz; ändert sich der Betrag (z. B. durch Mehrverbrauch/Overage), wird der geänderte Betrag rechtzeitig unter Wahrung der vorgenannten Frist angekündigt.</w:t>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Rücklastschriften</w:t>
      </w:r>
    </w:p>
    <w:p>
      <w:pPr>
        <w:spacing w:after="120" w:line="276"/>
        <w:jc w:val="both"/>
      </w:pPr>
      <w:r>
        <w:rPr>
          <w:rFonts w:ascii="Arial" w:cs="Arial" w:eastAsia="Arial" w:hAnsi="Arial"/>
          <w:b w:val="false"/>
          <w:bCs w:val="false"/>
          <w:i w:val="false"/>
          <w:iCs w:val="false"/>
          <w:color w:val="1A1A1A"/>
          <w:sz w:val="21"/>
          <w:szCs w:val="21"/>
        </w:rPr>
        <w:t xml:space="preserve">Wird eine Lastschrift aus einem vom Kunden zu vertretenden Grund zurückgegeben – insbesondere mangels Kontodeckung, wegen fehlender oder nicht registrierter Mandatsbestätigung bei der Bank, wegen Widerspruchs oder Auflösung des Kontos –, so trägt der Kunde die hierdurch entstehenden Kosten. Der Kunde erstattet NexAI die </w:t>
      </w:r>
      <w:r>
        <w:rPr>
          <w:rFonts w:ascii="Arial" w:cs="Arial" w:eastAsia="Arial" w:hAnsi="Arial"/>
          <w:b/>
          <w:bCs/>
          <w:i w:val="false"/>
          <w:iCs w:val="false"/>
          <w:color w:val="1A1A1A"/>
          <w:sz w:val="21"/>
          <w:szCs w:val="21"/>
        </w:rPr>
        <w:t xml:space="preserve">tatsächlich angefallenen Bankentgelte</w:t>
      </w:r>
      <w:r>
        <w:rPr>
          <w:rFonts w:ascii="Arial" w:cs="Arial" w:eastAsia="Arial" w:hAnsi="Arial"/>
          <w:b w:val="false"/>
          <w:bCs w:val="false"/>
          <w:i w:val="false"/>
          <w:iCs w:val="false"/>
          <w:color w:val="1A1A1A"/>
          <w:sz w:val="21"/>
          <w:szCs w:val="21"/>
        </w:rPr>
        <w:t xml:space="preserve"> der Rücklastschrift sowie eine </w:t>
      </w:r>
      <w:r>
        <w:rPr>
          <w:rFonts w:ascii="Arial" w:cs="Arial" w:eastAsia="Arial" w:hAnsi="Arial"/>
          <w:b/>
          <w:bCs/>
          <w:i w:val="false"/>
          <w:iCs w:val="false"/>
          <w:color w:val="1A1A1A"/>
          <w:sz w:val="21"/>
          <w:szCs w:val="21"/>
        </w:rPr>
        <w:t xml:space="preserve">angemessene Bearbeitungspauschale</w:t>
      </w:r>
      <w:r>
        <w:rPr>
          <w:rFonts w:ascii="Arial" w:cs="Arial" w:eastAsia="Arial" w:hAnsi="Arial"/>
          <w:b w:val="false"/>
          <w:bCs w:val="false"/>
          <w:i w:val="false"/>
          <w:iCs w:val="false"/>
          <w:color w:val="1A1A1A"/>
          <w:sz w:val="21"/>
          <w:szCs w:val="21"/>
        </w:rPr>
        <w:t xml:space="preserve"> für den entstandenen Verwaltungsaufwand. Dem Kunden bleibt der Nachweis vorbehalten, dass ein Schaden oder eine Wertminderung überhaupt nicht oder in wesentlich geringerer Höhe entstanden ist. Die Geltendmachung eines weitergehenden Schadens sowie etwaiger Verzugsansprüche durch NexAI bleibt unberührt.</w:t>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Zahlung per Überweisung (Fallback)</w:t>
      </w:r>
    </w:p>
    <w:p>
      <w:pPr>
        <w:spacing w:after="120" w:line="276"/>
        <w:jc w:val="both"/>
      </w:pPr>
      <w:r>
        <w:rPr>
          <w:rFonts w:ascii="Arial" w:cs="Arial" w:eastAsia="Arial" w:hAnsi="Arial"/>
          <w:b w:val="false"/>
          <w:bCs w:val="false"/>
          <w:i w:val="false"/>
          <w:iCs w:val="false"/>
          <w:color w:val="1A1A1A"/>
          <w:sz w:val="21"/>
          <w:szCs w:val="21"/>
        </w:rPr>
        <w:t xml:space="preserve">Erteilt der Kunde kein Firmenlastschriftmandat, ist ein solches unwirksam, wird es widerrufen oder scheitert der Einzug wiederholt aus vom Kunden zu vertretenden Gründen, so erfolgt die Zahlung per </w:t>
      </w:r>
      <w:r>
        <w:rPr>
          <w:rFonts w:ascii="Arial" w:cs="Arial" w:eastAsia="Arial" w:hAnsi="Arial"/>
          <w:b/>
          <w:bCs/>
          <w:i w:val="false"/>
          <w:iCs w:val="false"/>
          <w:color w:val="1A1A1A"/>
          <w:sz w:val="21"/>
          <w:szCs w:val="21"/>
        </w:rPr>
        <w:t xml:space="preserve">Überweisung</w:t>
      </w:r>
      <w:r>
        <w:rPr>
          <w:rFonts w:ascii="Arial" w:cs="Arial" w:eastAsia="Arial" w:hAnsi="Arial"/>
          <w:b w:val="false"/>
          <w:bCs w:val="false"/>
          <w:i w:val="false"/>
          <w:iCs w:val="false"/>
          <w:color w:val="1A1A1A"/>
          <w:sz w:val="21"/>
          <w:szCs w:val="21"/>
        </w:rPr>
        <w:t xml:space="preserve">. In diesem Fall sind die geschuldeten Beträge ohne Abzug so rechtzeitig auf das in der Rechnung angegebene Konto von NexAI zu überweisen, dass sie spätestens am </w:t>
      </w:r>
      <w:r>
        <w:rPr>
          <w:rFonts w:ascii="Arial" w:cs="Arial" w:eastAsia="Arial" w:hAnsi="Arial"/>
          <w:b/>
          <w:bCs/>
          <w:i w:val="false"/>
          <w:iCs w:val="false"/>
          <w:color w:val="1A1A1A"/>
          <w:sz w:val="21"/>
          <w:szCs w:val="21"/>
        </w:rPr>
        <w:t xml:space="preserve">dritten (3.) Werktag vor Fälligkeit</w:t>
      </w:r>
      <w:r>
        <w:rPr>
          <w:rFonts w:ascii="Arial" w:cs="Arial" w:eastAsia="Arial" w:hAnsi="Arial"/>
          <w:b w:val="false"/>
          <w:bCs w:val="false"/>
          <w:i w:val="false"/>
          <w:iCs w:val="false"/>
          <w:color w:val="1A1A1A"/>
          <w:sz w:val="21"/>
          <w:szCs w:val="21"/>
        </w:rPr>
        <w:t xml:space="preserve"> angewiesen sind und NexAI fristgerecht gutgeschrieben werden.</w:t>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Ort, Datum, Unterschrift des Zahlers</w:t>
      </w:r>
    </w:p>
    <w:p>
      <w:pPr>
        <w:spacing w:after="120" w:line="276"/>
        <w:jc w:val="both"/>
      </w:pPr>
      <w:r>
        <w:rPr>
          <w:rFonts w:ascii="Arial" w:cs="Arial" w:eastAsia="Arial" w:hAnsi="Arial"/>
          <w:b w:val="false"/>
          <w:bCs w:val="false"/>
          <w:i w:val="false"/>
          <w:iCs w:val="false"/>
          <w:color w:val="1A1A1A"/>
          <w:sz w:val="21"/>
          <w:szCs w:val="21"/>
        </w:rPr>
        <w:t xml:space="preserve">Mit meiner/unserer Unterschrift bestätige(n) ich/wir die Richtigkeit der vorstehenden Angaben, erteile(n) das SEPA-Firmenlastschriftmandat zugunsten von NexAI und erkenne(n) die vorstehenden Bedingungen an.</w:t>
      </w:r>
    </w:p>
    <w:p>
      <w:pPr>
        <w:spacing w:after="20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9406"/>
      </w:tblGrid>
      <w:tr>
        <w:tc>
          <w:tcPr>
            <w:tcW w:type="dxa" w:w="9406"/>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 (Zahler / Kontoinhaber)</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6B7280"/>
                <w:sz w:val="18"/>
                <w:szCs w:val="18"/>
              </w:rPr>
              <w:t xml:space="preserve">Name / Funktion</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Unterschrift und ggf. Firmenstempel</w:t>
            </w:r>
          </w:p>
        </w:tc>
      </w:tr>
    </w:tbl>
    <w:p>
      <w:pPr>
        <w:spacing w:after="160"/>
      </w:pPr>
      <w:r>
        <w:rPr>
          <w:sz w:val="2"/>
          <w:szCs w:val="2"/>
        </w:rPr>
        <w:t xml:space="preserve"/>
      </w:r>
    </w:p>
    <w:p>
      <w:pPr>
        <w:spacing w:after="140" w:before="80"/>
      </w:pPr>
      <w:r>
        <w:rPr>
          <w:rFonts w:ascii="Arial" w:cs="Arial" w:eastAsia="Arial" w:hAnsi="Arial"/>
          <w:b w:val="false"/>
          <w:bCs w:val="false"/>
          <w:i/>
          <w:iCs/>
          <w:color w:val="6B7280"/>
          <w:sz w:val="18"/>
          <w:szCs w:val="18"/>
        </w:rPr>
        <w:t xml:space="preserve">Hinweis: Zur Nutzung des SEPA-Firmenlastschriftverfahrens ist eine Gläubiger-Identifikationsnummer (Creditor Identifier) erforderlich. Diese ist bei der Deutschen Bundesbank zu beantragen und in Abschnitt 1 einzutragen.</w:t>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Allgemeine Geschäftsbedingungen (AGB) – B2B</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der NexAI – Next Generation Artificial Intelligence GbR für Leistungen im Zusammenhang mit KI-Agenten, Anwendungen und digitalen Assistenten</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 1  </w:t>
      </w:r>
      <w:r>
        <w:rPr>
          <w:rFonts w:ascii="Arial" w:cs="Arial" w:eastAsia="Arial" w:hAnsi="Arial"/>
          <w:b/>
          <w:bCs/>
          <w:i w:val="false"/>
          <w:iCs w:val="false"/>
          <w:color w:val="0B0B0F"/>
          <w:sz w:val="24"/>
          <w:szCs w:val="24"/>
        </w:rPr>
        <w:t xml:space="preserve">Geltungsbereich und Vorrang der Individualabreden</w:t>
      </w:r>
    </w:p>
    <w:p>
      <w:pPr>
        <w:spacing w:after="120" w:line="276"/>
        <w:jc w:val="both"/>
      </w:pPr>
      <w:r>
        <w:rPr>
          <w:rFonts w:ascii="Arial" w:cs="Arial" w:eastAsia="Arial" w:hAnsi="Arial"/>
          <w:b w:val="false"/>
          <w:bCs w:val="false"/>
          <w:i w:val="false"/>
          <w:iCs w:val="false"/>
          <w:color w:val="1A1A1A"/>
          <w:sz w:val="21"/>
          <w:szCs w:val="21"/>
        </w:rPr>
        <w:t xml:space="preserve">Diese Allgemeinen Geschäftsbedingungen (nachfolgend "AGB") gelten für sämtliche Geschäftsbeziehungen zwischen der </w:t>
      </w: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jeder allein (§ 720 Abs. 2 BGB), oder durch eine bevollmächtigte Person (Ziffer 16 des Leistungsscheins), E-Mail mbt@nex-a-i.com, Telefon 0176 80714816 (nachfolgend "NexAI"), und ihren Kunden (nachfolgend "Kunde") über die Bereitstellung, Einrichtung und den Betrieb von KI-Agenten und digitalen Assistenten (nachfolgend "Agenten"), von Softwareanwendungen (nachfolgend "Anwendungen") sowie damit verbundene Leistungen.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Diese AGB gelten ausschließlich gegenüber Unternehmern im Sinne des § 14 BGB, juristischen Personen des öffentlichen Rechts und öffentlich-rechtlichen Sondervermögen. Sie gelten nicht gegenüber Verbrauchern im Sinne des § 13 BGB.</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Es gilt die Rangfolge der Vertragsdokumente nach § 1 Abs. (4) bis (6) des Rahmenvertrags. Individuelle Vereinbarungen (§ 305b BGB) haben in jedem Fall Vorrang vor diesen AGB.</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Diese AGB gelten auch für alle künftigen Geschäfte mit dem Kunden derselben Art, ohne dass NexAI in jedem Einzelfall erneut auf sie hinweisen müsste.</w:t>
      </w:r>
    </w:p>
    <w:p>
      <w:pPr>
        <w:pStyle w:val="Heading2"/>
        <w:keepNext/>
        <w:spacing w:after="80" w:before="160"/>
      </w:pPr>
      <w:r>
        <w:rPr>
          <w:rFonts w:ascii="Arial" w:cs="Arial" w:eastAsia="Arial" w:hAnsi="Arial"/>
          <w:b/>
          <w:bCs/>
          <w:i w:val="false"/>
          <w:iCs w:val="false"/>
          <w:color w:val="0B0B0F"/>
          <w:sz w:val="21"/>
          <w:szCs w:val="21"/>
        </w:rPr>
        <w:t xml:space="preserve">Abwehr entgegenstehender Bedingungen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Entgegenstehende, abweichende oder ergänzende Allgemeine Geschäfts-, Einkaufs- oder sonstige Bedingungen des Kunden werden nicht Vertragsbestandteil, es sei denn, NexAI hat ihrer Geltung ausdrücklich in Textform zugestimmt.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Dies gilt auch dann, wenn NexAI in Kenntnis entgegenstehender oder abweichender Bedingungen des Kunden die Leistung vorbehaltlos ausführt oder eine Zahlung des Kunden vorbehaltlos annimmt. Ein bloßes Schweigen oder die vorbehaltlose Leistungserbringung stellt keine Anerkennung solcher Bedingungen dar.</w:t>
      </w:r>
    </w:p>
    <w:p>
      <w:pPr>
        <w:pStyle w:val="Heading1"/>
        <w:keepNext/>
        <w:spacing w:after="100" w:before="260"/>
      </w:pPr>
      <w:r>
        <w:rPr>
          <w:rFonts w:ascii="Arial" w:cs="Arial" w:eastAsia="Arial" w:hAnsi="Arial"/>
          <w:b/>
          <w:bCs/>
          <w:color w:val="1F3A8A"/>
          <w:sz w:val="24"/>
          <w:szCs w:val="24"/>
        </w:rPr>
        <w:t xml:space="preserve">§ 2  </w:t>
      </w:r>
      <w:r>
        <w:rPr>
          <w:rFonts w:ascii="Arial" w:cs="Arial" w:eastAsia="Arial" w:hAnsi="Arial"/>
          <w:b/>
          <w:bCs/>
          <w:i w:val="false"/>
          <w:iCs w:val="false"/>
          <w:color w:val="0B0B0F"/>
          <w:sz w:val="24"/>
          <w:szCs w:val="24"/>
        </w:rPr>
        <w:t xml:space="preserve">Leistungen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Gegenstand und Umfang der von NexAI zu erbringenden Leistungen ergeben sich abschließend aus dem Auftragsformular/Leistungsschein und der Anlage A (Leistungsbeschreibung). NexAI stellt danach je nach Beauftragung Agenten bereit, insbesondere Voice Agents, Chat Agents, Automatisierungen und individuelle KI-Agenten, sowie Anwendungen, insbesondere NexAI CRM, NexAI Kalender, NexAI Mailagent und individuelle Anwendungen, richtet diese ein und/oder betreibt sie laufend oder überlässt sie als Kauflizenz (Anlage 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Leistungen von NexAI umfassen einmalige Werkleistungen wie die Ersteinrichtung von Agenten und die Einrichtung und Bereitstellung von Anwendungen (nachfolgend "Projektleistungen", Werkvertragsrecht) sowie den laufenden Betrieb, die Wartung, das Hosting und den Support der Agenten und der von NexAI betriebenen Anwendungen (nachfolgend "Betriebsleistungen"). Für die rechtliche Einordnung der Betriebsleistungen gilt § 3 Abs. (2) des Rahmenvertrags; für Kauflizenzen und Projektanwendungen zum Festpreis gilt Anlage 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von NexAI bereitgestellten Agenten sind KI-gestützte, wahrscheinlichkeitsbasierte Systeme. Ihre Aufgabe besteht in der Kommunikation mit Personen, die mit den Agenten interagieren (nachfolgend "Endnutzer"), insbesondere in der Auskunftserteilung, Terminvereinbarung und Kontaktaufnahme. Die Agenten sind so konzipiert, dass sie keine Preis- oder Konditionszusagen, Bestellungen oder Vertragsschlüsse im Namen des Kunden erklären; ausgenommen ist die Vereinbarung von Terminen innerhalb der vom Kunden hinterlegten Verfügbarkeiten (§ 6 des Rahmenvertrags).</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Kennzeichnung der Agenten als KI-System sowie die zugehörigen Transparenzhinweise gegenüber Endnutzern nach Art. 50 der Verordnung (EU) 2024/1689 (KI-Verordnung) sind verbindlicher und nicht abschaltbarer Bestandteil der Leistung. Für den NexAI Mailagent gilt Anlage A Ziffer 5.4 Abs. (6).</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NexAI darf die Leistungen technisch weiterentwickeln und anpassen, soweit die vereinbarte Funktionalität erhalten bleibt und die Änderung für den Kunden unter Berücksichtigung der Interessen von NexAI zumutbar ist, insbesondere bei Änderungen, die durch Wechsel oder Änderung eines Subunternehmers, durch Sicherheitsanforderungen oder durch geänderte Rechtsvorschriften veranlasst sind. Entfällt eine vereinbarte Funktion oder wird sie nicht nur unerheblich eingeschränkt, kündigt NexAI dies mindestens sechs Wochen vorher in Textform an; der Kunde kann den betroffenen Einzelvertrag zum Zeitpunkt der Änderung kündigen.</w:t>
      </w:r>
    </w:p>
    <w:p>
      <w:pPr>
        <w:pStyle w:val="Heading1"/>
        <w:keepNext/>
        <w:spacing w:after="100" w:before="260"/>
      </w:pPr>
      <w:r>
        <w:rPr>
          <w:rFonts w:ascii="Arial" w:cs="Arial" w:eastAsia="Arial" w:hAnsi="Arial"/>
          <w:b/>
          <w:bCs/>
          <w:color w:val="1F3A8A"/>
          <w:sz w:val="24"/>
          <w:szCs w:val="24"/>
        </w:rPr>
        <w:t xml:space="preserve">§ 3  </w:t>
      </w:r>
      <w:r>
        <w:rPr>
          <w:rFonts w:ascii="Arial" w:cs="Arial" w:eastAsia="Arial" w:hAnsi="Arial"/>
          <w:b/>
          <w:bCs/>
          <w:i w:val="false"/>
          <w:iCs w:val="false"/>
          <w:color w:val="0B0B0F"/>
          <w:sz w:val="24"/>
          <w:szCs w:val="24"/>
        </w:rPr>
        <w:t xml:space="preserve">Angebot und Vertragsschluss</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Angebote von NexAI sind freibleibend und unverbindlich, sofern sie nicht ausdrücklich als verbindlich bezeichnet sind oder eine bestimmte Bindungsfrist enthalten.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Ein Vertrag kommt mit der Unterzeichnung des Auftragsformulars/Leistungsscheins durch beide Parteien zustande, auch in Textform (§ 126b BGB) oder mittels elektronischer Signatur, etwa über NexSign.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Änderungen und Ergänzungen des Vertrags sollen zu Beweiszwecken in Textform festgehalten werden. Vertriebspartner von NexAI und die Vertriebsleitung unterzeichnen für NexAI nur im Rahmen ihrer Vollmacht nach dem Hinweis zur Unterschrift in Ziffer 16 des Leistungsscheins; Vereinbarungen oder Zusagen, die darüber hinausgehen, sind davon nicht gedeckt.</w:t>
      </w:r>
    </w:p>
    <w:p>
      <w:pPr>
        <w:pStyle w:val="Heading1"/>
        <w:keepNext/>
        <w:spacing w:after="100" w:before="260"/>
      </w:pPr>
      <w:r>
        <w:rPr>
          <w:rFonts w:ascii="Arial" w:cs="Arial" w:eastAsia="Arial" w:hAnsi="Arial"/>
          <w:b/>
          <w:bCs/>
          <w:color w:val="1F3A8A"/>
          <w:sz w:val="24"/>
          <w:szCs w:val="24"/>
        </w:rPr>
        <w:t xml:space="preserve">§ 4  </w:t>
      </w:r>
      <w:r>
        <w:rPr>
          <w:rFonts w:ascii="Arial" w:cs="Arial" w:eastAsia="Arial" w:hAnsi="Arial"/>
          <w:b/>
          <w:bCs/>
          <w:i w:val="false"/>
          <w:iCs w:val="false"/>
          <w:color w:val="0B0B0F"/>
          <w:sz w:val="24"/>
          <w:szCs w:val="24"/>
        </w:rPr>
        <w:t xml:space="preserve">Preise und Zahlungsbedingungen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Eine einmalige Einrichtungsgebühr fällt nur an, wenn und soweit sie im Auftragsformular vereinbart ist; sie ist mangels abweichender Vereinbarung mit der Abnahme der Einrichtung fällig. Im Übrigen ist für die Leistungen ein monatlicher oder – bei entsprechender Wahl – ein jährlicher Beitrag nach Maßgabe des Auftragsformulars zu entrichten. Für Kauflizenzen und Projektanwendungen zum Festpreis gilt Anlage 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Alle Preise verstehen sich netto in Euro zzgl. der jeweils geltenden gesetzlichen Umsatzsteuer. NexAI unterliegt der Regelbesteuerung; die Umsatzsteuer-Identifikationsnummer von NexAI lautet DE463741277.</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Im Beitrag ist ein Nutzungskontingent enthalten (nachfolgend "Freikontingent"). Nutzung über das Freikontingent hinaus (nachfolgend "Mehrverbrauch" oder "Overage") wird zum im Auftragsformular vereinbarten Netto-Einheitspreis abgerechnet und zusammen mit dem Beitrag des Folgemonats in Rechnung gestellt. Auf Verlangen des Kunden stellt NexAI einen Einzelverbindungsnachweis zur Verfügung. Je Agent kann ein technisches Ausgaben-Limit (EUR-Spend-Cap) eingerichtet werden.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Rechnungen sind ohne Abzug innerhalb von 14 Tagen ab Zugang der Rechnung zur Zahlung fällig. Die Zahlung erfolgt wahlweise per SEPA-Firmenlastschrift (B2B-Firmenlastschriftmandat) oder per Überweisung nach Wahl des Kunden gemäß Auftragsformular.</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Rechnungen, Stornorechnungen, Zahlungserinnerungen und Mahnungen übermittelt NexAI elektronisch an die vom Kunden im Auftragsformular oder später in Textform oder in der Anwendung benannte Rechnungs-E-Mail-Adresse. Soweit NexAI gesetzlich verpflichtet ist, eine elektronische Rechnung im Sinne des § 14 Absatz 1 Satz 3 UStG auszustellen, erhält der Kunde die Rechnung in einem diesen Anforderungen entsprechenden strukturierten Format (z. B. ZUGFeRD oder XRechnung). Im Übrigen, insbesondere soweit eine Übergangsregelung eine andere Form zulässt, stimmt der Kunde der Übermittlung von Rechnungen als PDF-Datei per E-Mail zu (§ 14 Absatz 1 Satz 5 UStG). Der Kunde teilt Änderungen seiner Rechnungsanschrift und seiner Rechnungs-E-Mail-Adresse unverzüglich in Textform mit.</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Gerät der Kunde in Zahlungsverzug, ist NexAI berechtigt, Verzugszinsen in Höhe von 9 Prozentpunkten über dem jeweiligen Basiszinssatz sowie eine Pauschale in Höhe von 40 EUR gemäß § 288 Abs. 2 und Abs. 5 BGB zu verlangen. Die Pauschale ist auf einen geschuldeten Schadensersatz anzurechnen, soweit der Schaden in Kosten der Rechtsverfolgung begründet ist. Die Geltendmachung eines weitergehenden Verzugsschadens bleibt vorbehalten.</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Befindet sich der Kunde mit fälligen Zahlungen in Verzug, ist NexAI nach vorheriger Ankündigung in Textform und fruchtlosem Ablauf einer Nachfrist von sieben (7) Tagen berechtigt, die Betriebsleistungen ganz oder teilweise auszusetzen, bis sämtliche fälligen Beträge ausgeglichen sind. Der Zahlungsanspruch bleibt für die Dauer der Aussetzung bestehen.</w:t>
      </w:r>
    </w:p>
    <w:p>
      <w:pPr>
        <w:spacing w:after="80" w:line="276"/>
        <w:ind w:left="360" w:hanging="360"/>
        <w:jc w:val="both"/>
      </w:pPr>
      <w:r>
        <w:rPr>
          <w:rFonts w:ascii="Arial" w:cs="Arial" w:eastAsia="Arial" w:hAnsi="Arial"/>
          <w:color w:val="1A1A1A"/>
          <w:sz w:val="21"/>
          <w:szCs w:val="21"/>
        </w:rPr>
        <w:t xml:space="preserve">(8)	</w:t>
      </w:r>
      <w:r>
        <w:rPr>
          <w:rFonts w:ascii="Arial" w:cs="Arial" w:eastAsia="Arial" w:hAnsi="Arial"/>
          <w:b w:val="false"/>
          <w:bCs w:val="false"/>
          <w:i w:val="false"/>
          <w:iCs w:val="false"/>
          <w:color w:val="1A1A1A"/>
          <w:sz w:val="21"/>
          <w:szCs w:val="21"/>
        </w:rPr>
        <w:t xml:space="preserve">Der Kunde kann nur mit unbestrittenen, rechtskräftig festgestellten oder entscheidungsreifen Gegenforderungen aufrechnen; dies gilt nicht für Gegenforderungen wegen Mängeln oder unvollständiger Erfüllung derselben Leistung, insbesondere auf Ersatz von Mängelbeseitigungs- oder Fertigstellungskosten. Ein Zurückbehaltungsrecht steht dem Kunden nur wegen Gegenansprüchen aus demselben Vertragsverhältnis zu; § 320 BGB bleibt unberührt.</w:t>
      </w:r>
    </w:p>
    <w:p>
      <w:pPr>
        <w:pStyle w:val="Heading1"/>
        <w:keepNext/>
        <w:spacing w:after="100" w:before="260"/>
      </w:pPr>
      <w:r>
        <w:rPr>
          <w:rFonts w:ascii="Arial" w:cs="Arial" w:eastAsia="Arial" w:hAnsi="Arial"/>
          <w:b/>
          <w:bCs/>
          <w:color w:val="1F3A8A"/>
          <w:sz w:val="24"/>
          <w:szCs w:val="24"/>
        </w:rPr>
        <w:t xml:space="preserve">§ 5  </w:t>
      </w:r>
      <w:r>
        <w:rPr>
          <w:rFonts w:ascii="Arial" w:cs="Arial" w:eastAsia="Arial" w:hAnsi="Arial"/>
          <w:b/>
          <w:bCs/>
          <w:i w:val="false"/>
          <w:iCs w:val="false"/>
          <w:color w:val="0B0B0F"/>
          <w:sz w:val="24"/>
          <w:szCs w:val="24"/>
        </w:rPr>
        <w:t xml:space="preserve">Änderung von Preisen und Bedingungen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Für Preisänderungen gilt der Abschnitt Preisanpassung in § 7 Abs. (10) des Rahmenvertrags.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Andere Änderungen dieser AGB oder der Vertragsdokumente werden nur wirksam, wenn der Kunde ihnen in Textform zustimmt. Stimmt er nicht zu, gelten die bisherigen Bedingungen fort; das Recht beider Parteien zur ordentlichen Kündigung bleibt unberührt.</w:t>
      </w:r>
    </w:p>
    <w:p>
      <w:pPr>
        <w:pStyle w:val="Heading1"/>
        <w:keepNext/>
        <w:spacing w:after="100" w:before="260"/>
      </w:pPr>
      <w:r>
        <w:rPr>
          <w:rFonts w:ascii="Arial" w:cs="Arial" w:eastAsia="Arial" w:hAnsi="Arial"/>
          <w:b/>
          <w:bCs/>
          <w:color w:val="1F3A8A"/>
          <w:sz w:val="24"/>
          <w:szCs w:val="24"/>
        </w:rPr>
        <w:t xml:space="preserve">§ 6  </w:t>
      </w:r>
      <w:r>
        <w:rPr>
          <w:rFonts w:ascii="Arial" w:cs="Arial" w:eastAsia="Arial" w:hAnsi="Arial"/>
          <w:b/>
          <w:bCs/>
          <w:i w:val="false"/>
          <w:iCs w:val="false"/>
          <w:color w:val="0B0B0F"/>
          <w:sz w:val="24"/>
          <w:szCs w:val="24"/>
        </w:rPr>
        <w:t xml:space="preserve">Mitwirkungspflichten und Änderungswünsche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stellt NexAI alle für die Leistungserbringung erforderlichen Informationen, Inhalte, Zugänge und Freigaben rechtzeitig, vollständig und in geeigneter Form zur Verfügung und benennt einen ansprechbaren Verantwortlichen. Die Mitwirkungshandlungen sind wesentliche Vertragspflichten.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Kommt der Kunde seinen Mitwirkungspflichten nicht rechtzeitig nach, verlängern sich vereinbarte Fristen angemessen. Mehraufwendungen, die NexAI hierdurch entstehen, sind vom Kunden nach Aufwand zu erstatten.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Änderungswünsche des Kunden, die über den vereinbarten Leistungsumfang hinausgehen, bedürfen einer gesonderten Vereinbarung und werden gesondert nach Aufwand vergütet, soweit nichts anderes vereinbart ist.</w:t>
      </w:r>
    </w:p>
    <w:p>
      <w:pPr>
        <w:pStyle w:val="Heading1"/>
        <w:keepNext/>
        <w:spacing w:after="100" w:before="260"/>
      </w:pPr>
      <w:r>
        <w:rPr>
          <w:rFonts w:ascii="Arial" w:cs="Arial" w:eastAsia="Arial" w:hAnsi="Arial"/>
          <w:b/>
          <w:bCs/>
          <w:color w:val="1F3A8A"/>
          <w:sz w:val="24"/>
          <w:szCs w:val="24"/>
        </w:rPr>
        <w:t xml:space="preserve">§ 7  </w:t>
      </w:r>
      <w:r>
        <w:rPr>
          <w:rFonts w:ascii="Arial" w:cs="Arial" w:eastAsia="Arial" w:hAnsi="Arial"/>
          <w:b/>
          <w:bCs/>
          <w:i w:val="false"/>
          <w:iCs w:val="false"/>
          <w:color w:val="0B0B0F"/>
          <w:sz w:val="24"/>
          <w:szCs w:val="24"/>
        </w:rPr>
        <w:t xml:space="preserve">Nutzungsrechte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Sämtliche Rechte an den von NexAI im Rahmen der Leistungserbringung entwickelten oder eingesetzten Systemen, Konfigurationen, Prompts, Skripten, Workflows und sonstigen Arbeitsergebnissen sowie an der zugrunde liegenden Software und Infrastruktur verbleiben bei NexAI bzw. den jeweiligen Rechteinhabern.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räumt dem Kunden für die Dauer des Vertrages ein einfaches, nicht ausschließliches, nicht übertragbares und zeitlich auf die Vertragslaufzeit befristetes Nutzungsrecht an den Agenten, den von NexAI betriebenen Anwendungen und den zu ihrer bestimmungsgemäßen Nutzung erforderlichen Arbeitsergebnissen ein.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Mit Beendigung des Vertrages erlischt das Nutzungsrecht des Kunden, soweit im Rahmenvertrag, im Auftragsformular oder in Anlage E (Kauflizenz und Projektanwendungen) nichts Abweichendes vereinbart ist. Vom Kunden beigestellte Inhalte und seine eigenen Geschäftsdaten bleiben von dieser Regelung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Accounts, Zugänge und die technische Infrastruktur zum Betrieb der Agenten stellt NexAI als eigene Betriebsmittel bereit; ein Herausgabeanspruch des Kunden hieran besteht vorbehaltlich Anlage E nicht. Auf Wunsch des Kunden können abweichend hiervon kundeneigene Accounts verwendet werden.</w:t>
      </w:r>
    </w:p>
    <w:p>
      <w:pPr>
        <w:pStyle w:val="Heading1"/>
        <w:keepNext/>
        <w:spacing w:after="100" w:before="260"/>
      </w:pPr>
      <w:r>
        <w:rPr>
          <w:rFonts w:ascii="Arial" w:cs="Arial" w:eastAsia="Arial" w:hAnsi="Arial"/>
          <w:b/>
          <w:bCs/>
          <w:color w:val="1F3A8A"/>
          <w:sz w:val="24"/>
          <w:szCs w:val="24"/>
        </w:rPr>
        <w:t xml:space="preserve">§ 8  </w:t>
      </w:r>
      <w:r>
        <w:rPr>
          <w:rFonts w:ascii="Arial" w:cs="Arial" w:eastAsia="Arial" w:hAnsi="Arial"/>
          <w:b/>
          <w:bCs/>
          <w:i w:val="false"/>
          <w:iCs w:val="false"/>
          <w:color w:val="0B0B0F"/>
          <w:sz w:val="24"/>
          <w:szCs w:val="24"/>
        </w:rPr>
        <w:t xml:space="preserve">Drittanbieter und Subunternehmer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Zur Erbringung der Leistungen setzt NexAI Drittdienste und Unterauftragsverarbeiter ein (nachfolgend "Subunternehmer"), insbesondere die in Anlage B, Anhang 2 aufgeführten Unterauftragsverarbeiter in der jeweils nach Anlage B mitgeteilten Fassung. Der Kunde ist damit einverstanden. Die datenschutzrechtliche Einbindung richtet sich nach Anlage B (AVV).</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Leistungen der Subunternehmer unterliegen deren eigenen Nutzungs- und Verfügbarkeitsbedingungen. NexAI hat auf Verfügbarkeit, Leistungsumfang und Fortbestand dieser Dienste nur eingeschränkten Einfluss.</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Für Subunternehmer, deren sich NexAI zur Erfüllung ihrer Pflichten bedient, haftet NexAI wie für eigenes Verschulden (§ 278 BGB), jeweils nach Maßgabe des § 11; § 20 Abs. (2) des Rahmenvertrags gilt.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Laufende Kosten für Drittdienste, die dem Kunden im Auftragsformular gesondert zugewiesen oder als durchlaufende Posten ausgewiesen sind, trägt der Kunde.</w:t>
      </w:r>
    </w:p>
    <w:p>
      <w:pPr>
        <w:pStyle w:val="Heading1"/>
        <w:keepNext/>
        <w:spacing w:after="100" w:before="260"/>
      </w:pPr>
      <w:r>
        <w:rPr>
          <w:rFonts w:ascii="Arial" w:cs="Arial" w:eastAsia="Arial" w:hAnsi="Arial"/>
          <w:b/>
          <w:bCs/>
          <w:color w:val="1F3A8A"/>
          <w:sz w:val="24"/>
          <w:szCs w:val="24"/>
        </w:rPr>
        <w:t xml:space="preserve">§ 9  </w:t>
      </w:r>
      <w:r>
        <w:rPr>
          <w:rFonts w:ascii="Arial" w:cs="Arial" w:eastAsia="Arial" w:hAnsi="Arial"/>
          <w:b/>
          <w:bCs/>
          <w:i w:val="false"/>
          <w:iCs w:val="false"/>
          <w:color w:val="0B0B0F"/>
          <w:sz w:val="24"/>
          <w:szCs w:val="24"/>
        </w:rPr>
        <w:t xml:space="preserve">KI-Systeme und Eigenverantwortung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Agenten beruhen auf wahrscheinlichkeitsbasierten KI-Modellen. Ihre Ausgaben können unvollständig, fehlerhaft oder unerwartet sein. NexAI übernimmt keine Gewähr für die inhaltliche Richtigkeit, Vollständigkeit oder Fehlerfreiheit der von den Agenten erzeugten Inhalte und Antworten.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schuldet keinen bestimmten wirtschaftlichen Erfolg. Insbesondere wird keine Garantie für eine bestimmte Anzahl von Leads, Terminen, Abschlüssen, Umsätzen oder Reaktionen von Endnutzern übernommen.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bleibt für die Nutzung der Agenten und der von ihnen erzeugten Inhalte im eigenen Verantwortungsbereich verantwortlich, insbesondere für deren rechtliche Zulässigkeit im konkreten Einsatzkontext. Der Kunde hat die Ergebnisse in geschäftskritischen Fällen zu überprüfen.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Eine Tonaufzeichnung von Gesprächen ist standardmäßig deaktiviert; Wortprotokolle speichert NexAI nicht dauerhaft (§ 5 des Rahmenvertrags). Beides wird nur auf dokumentierte Weisung des Kunden aktiviert. In diesem Fall erfolgt gegenüber Endnutzern stets eine Pflicht-Ansage mit KI-Hinweis und, soweit einschlägig, einem Aufzeichnungshinweis.</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Im Sinne der KI-Verordnung ist NexAI Anbieter und der Kunde Betreiber der jeweiligen Agenten; die konkrete Zuordnung ergibt sich je Agent aus dem Auftragsformular.</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Für Anwendungen mit KI-Funktionen, insbesondere den NexAI Mailagent, gelten die Absätze (1) bis (3) entsprechend.</w:t>
      </w:r>
    </w:p>
    <w:p>
      <w:pPr>
        <w:pStyle w:val="Heading1"/>
        <w:keepNext/>
        <w:spacing w:after="100" w:before="260"/>
      </w:pPr>
      <w:r>
        <w:rPr>
          <w:rFonts w:ascii="Arial" w:cs="Arial" w:eastAsia="Arial" w:hAnsi="Arial"/>
          <w:b/>
          <w:bCs/>
          <w:color w:val="1F3A8A"/>
          <w:sz w:val="24"/>
          <w:szCs w:val="24"/>
        </w:rPr>
        <w:t xml:space="preserve">§ 10  </w:t>
      </w:r>
      <w:r>
        <w:rPr>
          <w:rFonts w:ascii="Arial" w:cs="Arial" w:eastAsia="Arial" w:hAnsi="Arial"/>
          <w:b/>
          <w:bCs/>
          <w:i w:val="false"/>
          <w:iCs w:val="false"/>
          <w:color w:val="0B0B0F"/>
          <w:sz w:val="24"/>
          <w:szCs w:val="24"/>
        </w:rPr>
        <w:t xml:space="preserve">Verfügbarkeit, Wartung und Support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erbringt die Betriebsleistungen mit der Sorgfalt eines ordentlichen Kaufmanns. Eine bestimmte Verfügbarkeit wird nur geschuldet, soweit sie in Anlage C (SLA) vereinbart ist.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Geplante Wartungs-, Aktualisierungs- und Instandhaltungsarbeiten, die NexAI nach Anlage C ankündigt und nach Möglichkeit in nutzungsarme Zeiten legt, stellen keinen Mangel und keine Pflichtverletzung dar. Gleiches gilt für Beeinträchtigungen durch Störungen bei Subunternehmern, die NexAI nicht zu vertreten hat, und durch höhere Gewalt.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Support wird nach Maßgabe des Vertrages und, soweit vereinbart, der Anlage C (SLA) erbracht.</w:t>
      </w:r>
    </w:p>
    <w:p>
      <w:pPr>
        <w:pStyle w:val="Heading1"/>
        <w:keepNext/>
        <w:spacing w:after="100" w:before="260"/>
      </w:pPr>
      <w:r>
        <w:rPr>
          <w:rFonts w:ascii="Arial" w:cs="Arial" w:eastAsia="Arial" w:hAnsi="Arial"/>
          <w:b/>
          <w:bCs/>
          <w:color w:val="1F3A8A"/>
          <w:sz w:val="24"/>
          <w:szCs w:val="24"/>
        </w:rPr>
        <w:t xml:space="preserve">§ 11  </w:t>
      </w:r>
      <w:r>
        <w:rPr>
          <w:rFonts w:ascii="Arial" w:cs="Arial" w:eastAsia="Arial" w:hAnsi="Arial"/>
          <w:b/>
          <w:bCs/>
          <w:i w:val="false"/>
          <w:iCs w:val="false"/>
          <w:color w:val="0B0B0F"/>
          <w:sz w:val="24"/>
          <w:szCs w:val="24"/>
        </w:rPr>
        <w:t xml:space="preserve">Haftung</w:t>
      </w:r>
    </w:p>
    <w:p>
      <w:pPr>
        <w:spacing w:after="120" w:line="276"/>
        <w:jc w:val="both"/>
      </w:pPr>
      <w:r>
        <w:rPr>
          <w:rFonts w:ascii="Arial" w:cs="Arial" w:eastAsia="Arial" w:hAnsi="Arial"/>
          <w:b w:val="false"/>
          <w:bCs w:val="false"/>
          <w:i w:val="false"/>
          <w:iCs w:val="false"/>
          <w:color w:val="1A1A1A"/>
          <w:sz w:val="21"/>
          <w:szCs w:val="21"/>
        </w:rPr>
        <w:t xml:space="preserve">Für die Haftung von NexAI gilt, gespiegelt zum Rahmenvertrag, die folgende abgestufte Regelung: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haftet unbeschränkt für Schäden aus der Verletzung des Lebens, des Körpers oder der Gesundheit, die auf einer Pflichtverletzung von NexAI, ihrer gesetzlichen Vertreter oder Erfüllungsgehilfen beruhen, sowie für Schäden, die auf Vorsatz oder grober Fahrlässigkeit von NexAI, ihrer gesetzlichen Vertreter oder Erfüllungsgehilfen beruhen. Ebenfalls unbeschränkt haftet NexAI, soweit eine Garantie übernommen wurde oder Ansprüche nach dem Produkthaftungsgesetz oder nach anderen Vorschriften bestehen, die eine Haftungsbeschränkung zwingend ausschließen.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Bei einfacher Fahrlässigkeit haftet NexAI nur bei Verletzung einer wesentlichen Vertragspflicht, also einer Pflicht, deren Erfüllung die ordnungsgemäße Durchführung des Vertrags überhaupt erst ermöglicht und auf deren Einhaltung der Kunde regelmäßig vertrauen darf. In diesem Fall ist die Haftung auf den bei Vertragsschluss vorhersehbaren, vertragstypischen Schaden begrenzt, höchstens jedoch auf 25.000 EUR je Schadensfall oder, wenn die Auftragssumme des betroffenen Einzelvertrags höher ist, auf die Auftragssumme. Auftragssumme ist die Summe der im Einzelvertrag vereinbarten einmaligen Vergütungen und der für die ersten zwölf (12) Monate vereinbarten laufenden Vergütungen, jeweils netto. Eine Begrenzung auf einen Jahresbetrag besteht nicht.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Im Übrigen ist die Haftung von NexAI für leichte Fahrlässigkeit ausgeschlossen, insbesondere bei der Verletzung nicht wesentlicher Vertragspflichten.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Soweit auf die Bereitstellung einer Anwendung Mietrecht anzuwenden ist, haftet NexAI für Mängel, die bereits bei Vertragsschluss vorhanden waren, nur, wenn NexAI sie zu vertreten hat (§ 12 Abs. (7) des Rahmenvertrags).</w:t>
      </w:r>
    </w:p>
    <w:p>
      <w:pPr>
        <w:spacing w:after="120" w:line="276"/>
        <w:jc w:val="both"/>
      </w:pPr>
      <w:r>
        <w:rPr>
          <w:rFonts w:ascii="Arial" w:cs="Arial" w:eastAsia="Arial" w:hAnsi="Arial"/>
          <w:b w:val="false"/>
          <w:bCs w:val="false"/>
          <w:i w:val="false"/>
          <w:iCs w:val="false"/>
          <w:color w:val="1A1A1A"/>
          <w:sz w:val="21"/>
          <w:szCs w:val="21"/>
        </w:rPr>
        <w:t xml:space="preserve">Die vorstehenden Haftungsbeschränkungen gelten auch zugunsten der gesetzlichen Vertreter, Mitarbeiter und Erfüllungsgehilfen von NexAI. Eine Änderung der Beweislast zum Nachteil des Kunden ist mit den vorstehenden Regelungen nicht verbunden. Die einzelnen Absätze dieser Haftungsklausel sind je für sich wirksam; sollte eine Beschränkung unwirksam sein, bleiben die übrigen Beschränkungen davon unberührt (blue-pencil-fest).</w:t>
      </w:r>
    </w:p>
    <w:p>
      <w:pPr>
        <w:pStyle w:val="Heading1"/>
        <w:keepNext/>
        <w:spacing w:after="100" w:before="260"/>
      </w:pPr>
      <w:r>
        <w:rPr>
          <w:rFonts w:ascii="Arial" w:cs="Arial" w:eastAsia="Arial" w:hAnsi="Arial"/>
          <w:b/>
          <w:bCs/>
          <w:color w:val="1F3A8A"/>
          <w:sz w:val="24"/>
          <w:szCs w:val="24"/>
        </w:rPr>
        <w:t xml:space="preserve">§ 12  </w:t>
      </w:r>
      <w:r>
        <w:rPr>
          <w:rFonts w:ascii="Arial" w:cs="Arial" w:eastAsia="Arial" w:hAnsi="Arial"/>
          <w:b/>
          <w:bCs/>
          <w:i w:val="false"/>
          <w:iCs w:val="false"/>
          <w:color w:val="0B0B0F"/>
          <w:sz w:val="24"/>
          <w:szCs w:val="24"/>
        </w:rPr>
        <w:t xml:space="preserve">Datenschutz</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Parteien beachten die jeweils geltenden datenschutzrechtlichen Bestimmungen. Soweit NexAI im Auftrag des Kunden personenbezogene Daten verarbeitet, gilt ergänzend die Anlage B (Auftragsverarbeitungsvertrag, AVV), die den Vorgaben des Art. 28 DSGVO entspricht.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Für die Speicherung und Löschung von Daten gelten § 14 Abs. (3) des Rahmenvertrags und Anlage B (§ 8 und Anhang 3).</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Nach Vertragsende stellt NexAI dem Kunden die vorhandenen Daten dreißig (30) Tage lang zum Export bereit, löscht sie anschließend und übersendet unaufgefordert eine Löschbestätigung (§ 21 des Rahmenvertrags, Anlage B § 12).</w:t>
      </w:r>
    </w:p>
    <w:p>
      <w:pPr>
        <w:pStyle w:val="Heading1"/>
        <w:keepNext/>
        <w:spacing w:after="100" w:before="260"/>
      </w:pPr>
      <w:r>
        <w:rPr>
          <w:rFonts w:ascii="Arial" w:cs="Arial" w:eastAsia="Arial" w:hAnsi="Arial"/>
          <w:b/>
          <w:bCs/>
          <w:color w:val="1F3A8A"/>
          <w:sz w:val="24"/>
          <w:szCs w:val="24"/>
        </w:rPr>
        <w:t xml:space="preserve">§ 13  </w:t>
      </w:r>
      <w:r>
        <w:rPr>
          <w:rFonts w:ascii="Arial" w:cs="Arial" w:eastAsia="Arial" w:hAnsi="Arial"/>
          <w:b/>
          <w:bCs/>
          <w:i w:val="false"/>
          <w:iCs w:val="false"/>
          <w:color w:val="0B0B0F"/>
          <w:sz w:val="24"/>
          <w:szCs w:val="24"/>
        </w:rPr>
        <w:t xml:space="preserve">Vertraulichkeit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Parteien verpflichten sich, alle im Rahmen der Zusammenarbeit erlangten vertraulichen Informationen der jeweils anderen Partei geheim zu halten, nur für Zwecke des Vertrages zu verwenden und nicht an Dritte weiterzugeben. Als vertraulich gelten Informationen, die als solche gekennzeichnet sind oder deren Vertraulichkeit sich aus der Natur der Information oder den Umständen ergibt.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Ausgenommen sind Informationen, die allgemein bekannt sind oder ohne Verstoß gegen diese Vereinbarung bekannt werden, die der empfangenden Partei bereits vor der Mitteilung bekannt waren, die sie rechtmäßig von Dritten erhalten hat oder unabhängig entwickelt hat, oder deren Offenlegung aufgrund gesetzlicher oder behördlicher Anordnung erforderlich ist.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Verpflichtung besteht für die Dauer des Vertrages und für einen Zeitraum von drei Jahren nach dessen Beendigung fort. Die Weitergabe an Subunternehmer im erforderlichen Umfang bleibt zulässig, sofern diese entsprechend zur Vertraulichkeit verpflichtet sind.</w:t>
      </w:r>
    </w:p>
    <w:p>
      <w:pPr>
        <w:pStyle w:val="Heading1"/>
        <w:keepNext/>
        <w:spacing w:after="100" w:before="260"/>
      </w:pPr>
      <w:r>
        <w:rPr>
          <w:rFonts w:ascii="Arial" w:cs="Arial" w:eastAsia="Arial" w:hAnsi="Arial"/>
          <w:b/>
          <w:bCs/>
          <w:color w:val="1F3A8A"/>
          <w:sz w:val="24"/>
          <w:szCs w:val="24"/>
        </w:rPr>
        <w:t xml:space="preserve">§ 14  </w:t>
      </w:r>
      <w:r>
        <w:rPr>
          <w:rFonts w:ascii="Arial" w:cs="Arial" w:eastAsia="Arial" w:hAnsi="Arial"/>
          <w:b/>
          <w:bCs/>
          <w:i w:val="false"/>
          <w:iCs w:val="false"/>
          <w:color w:val="0B0B0F"/>
          <w:sz w:val="24"/>
          <w:szCs w:val="24"/>
        </w:rPr>
        <w:t xml:space="preserve">Höhere Gewalt</w:t>
      </w:r>
    </w:p>
    <w:p>
      <w:pPr>
        <w:spacing w:after="120" w:line="276"/>
        <w:jc w:val="both"/>
      </w:pPr>
      <w:r>
        <w:rPr>
          <w:rFonts w:ascii="Arial" w:cs="Arial" w:eastAsia="Arial" w:hAnsi="Arial"/>
          <w:b w:val="false"/>
          <w:bCs w:val="false"/>
          <w:i w:val="false"/>
          <w:iCs w:val="false"/>
          <w:color w:val="1A1A1A"/>
          <w:sz w:val="21"/>
          <w:szCs w:val="21"/>
        </w:rPr>
        <w:t xml:space="preserve">Für höhere Gewalt gilt § 22 des Rahmenvertrags. NexAI informiert den Kunden über den Eintritt und die voraussichtliche Dauer unverzüglich und bemüht sich um Abhilfe.</w:t>
      </w:r>
    </w:p>
    <w:p>
      <w:pPr>
        <w:pStyle w:val="Heading1"/>
        <w:keepNext/>
        <w:spacing w:after="100" w:before="260"/>
      </w:pPr>
      <w:r>
        <w:rPr>
          <w:rFonts w:ascii="Arial" w:cs="Arial" w:eastAsia="Arial" w:hAnsi="Arial"/>
          <w:b/>
          <w:bCs/>
          <w:color w:val="1F3A8A"/>
          <w:sz w:val="24"/>
          <w:szCs w:val="24"/>
        </w:rPr>
        <w:t xml:space="preserve">§ 15  </w:t>
      </w:r>
      <w:r>
        <w:rPr>
          <w:rFonts w:ascii="Arial" w:cs="Arial" w:eastAsia="Arial" w:hAnsi="Arial"/>
          <w:b/>
          <w:bCs/>
          <w:i w:val="false"/>
          <w:iCs w:val="false"/>
          <w:color w:val="0B0B0F"/>
          <w:sz w:val="24"/>
          <w:szCs w:val="24"/>
        </w:rPr>
        <w:t xml:space="preserve">Referenzen</w:t>
      </w:r>
    </w:p>
    <w:p>
      <w:pPr>
        <w:spacing w:after="120" w:line="276"/>
        <w:jc w:val="both"/>
      </w:pPr>
      <w:r>
        <w:rPr>
          <w:rFonts w:ascii="Arial" w:cs="Arial" w:eastAsia="Arial" w:hAnsi="Arial"/>
          <w:b w:val="false"/>
          <w:bCs w:val="false"/>
          <w:i w:val="false"/>
          <w:iCs w:val="false"/>
          <w:color w:val="1A1A1A"/>
          <w:sz w:val="21"/>
          <w:szCs w:val="21"/>
        </w:rPr>
        <w:t xml:space="preserve">NexAI ist berechtigt, den Kunden und die für ihn erbrachten Leistungen zu Referenzzwecken, insbesondere unter Nennung des Namens und des Logos des Kunden, nur mit vorheriger Zustimmung des Kunden in Textform zu benennen. Die Zustimmung kann für die Zukunft widerrufen werden.</w:t>
      </w:r>
    </w:p>
    <w:p>
      <w:pPr>
        <w:pStyle w:val="Heading1"/>
        <w:keepNext/>
        <w:spacing w:after="100" w:before="260"/>
      </w:pPr>
      <w:r>
        <w:rPr>
          <w:rFonts w:ascii="Arial" w:cs="Arial" w:eastAsia="Arial" w:hAnsi="Arial"/>
          <w:b/>
          <w:bCs/>
          <w:color w:val="1F3A8A"/>
          <w:sz w:val="24"/>
          <w:szCs w:val="24"/>
        </w:rPr>
        <w:t xml:space="preserve">§ 16  </w:t>
      </w:r>
      <w:r>
        <w:rPr>
          <w:rFonts w:ascii="Arial" w:cs="Arial" w:eastAsia="Arial" w:hAnsi="Arial"/>
          <w:b/>
          <w:bCs/>
          <w:i w:val="false"/>
          <w:iCs w:val="false"/>
          <w:color w:val="0B0B0F"/>
          <w:sz w:val="24"/>
          <w:szCs w:val="24"/>
        </w:rPr>
        <w:t xml:space="preserve">Textform für Kundenerklärungen</w:t>
      </w:r>
    </w:p>
    <w:p>
      <w:pPr>
        <w:spacing w:after="120" w:line="276"/>
        <w:jc w:val="both"/>
      </w:pPr>
      <w:r>
        <w:rPr>
          <w:rFonts w:ascii="Arial" w:cs="Arial" w:eastAsia="Arial" w:hAnsi="Arial"/>
          <w:b w:val="false"/>
          <w:bCs w:val="false"/>
          <w:i w:val="false"/>
          <w:iCs w:val="false"/>
          <w:color w:val="1A1A1A"/>
          <w:sz w:val="21"/>
          <w:szCs w:val="21"/>
        </w:rPr>
        <w:t xml:space="preserve">Erklärungen des Kunden, die das Vertragsverhältnis gestalten, insbesondere Kündigungen, Weisungen, Freigaben und Widersprüche, bedürfen zu ihrer Wirksamkeit mindestens der Textform (§ 126b BGB), soweit in den Vertragsdokumenten nichts Strengeres bestimmt ist.</w:t>
      </w:r>
    </w:p>
    <w:p>
      <w:pPr>
        <w:pStyle w:val="Heading1"/>
        <w:keepNext/>
        <w:spacing w:after="100" w:before="260"/>
      </w:pPr>
      <w:r>
        <w:rPr>
          <w:rFonts w:ascii="Arial" w:cs="Arial" w:eastAsia="Arial" w:hAnsi="Arial"/>
          <w:b/>
          <w:bCs/>
          <w:color w:val="1F3A8A"/>
          <w:sz w:val="24"/>
          <w:szCs w:val="24"/>
        </w:rPr>
        <w:t xml:space="preserve">§ 17  </w:t>
      </w:r>
      <w:r>
        <w:rPr>
          <w:rFonts w:ascii="Arial" w:cs="Arial" w:eastAsia="Arial" w:hAnsi="Arial"/>
          <w:b/>
          <w:bCs/>
          <w:i w:val="false"/>
          <w:iCs w:val="false"/>
          <w:color w:val="0B0B0F"/>
          <w:sz w:val="24"/>
          <w:szCs w:val="24"/>
        </w:rPr>
        <w:t xml:space="preserve">Schlussbestimmungen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Es gilt das Recht der Bundesrepublik Deutschland unter Ausschluss des UN-Kaufrechts (CISG) und der Kollisionsnormen des internationalen Privatrechts.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Sind beide Parteien Kaufleute oder ist der Kunde eine juristische Person des öffentlichen Rechts oder ein öffentlich-rechtliches Sondervermögen, ist Gerichtsstand für alle Streitigkeiten aus und im Zusammenhang mit dem Vertragsverhältnis der Sitz von NexAI; NexAI kann den Kunden auch an seinem allgemeinen Gerichtsstand verklagen. Dasselbe gilt, wenn der Kunde keinen allgemeinen Gerichtsstand im Inland hat. Im Übrigen gelten die gesetzlichen Gerichtsstände.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Abtretung von Rechten und Pflichten des Kunden aus dem Vertrag bedarf der vorherigen Zustimmung von NexAI in Textform.</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Sollten einzelne Bestimmungen dieser AGB ganz oder teilweise unwirksam oder undurchführbar sein oder werden, so wird die Wirksamkeit der übrigen Bestimmungen hiervon nicht berührt. Anstelle der unwirksamen oder undurchführbaren Bestimmung tritt die gesetzliche Regelung. Das Gleiche gilt für den Fall einer Regelungslücke.</w:t>
      </w:r>
    </w:p>
    <w:p>
      <w:pPr>
        <w:spacing w:after="16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spacing w:after="20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Funktion (Gesellschafter oder in Vollmacht für NexAI)</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Anlage E – Kauflizenz und Projektanwendungen</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Anlage zum Rahmenvertrag: dauerhafte Nutzungsrechte, Aktualisierungen, Pflege und Betrieb</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Diese Anlage E ergänzt den Rahmenvertrag zwischen der </w:t>
      </w: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vertreten durch die Gesellschafter Maximilian Trenk und Jason Brian Merklein, jeder allein (§ 720 Abs. 2 BGB), oder durch eine bevollmächtigte Person (Ziffer 16 des Leistungsscheins) (nachfolgend "NexAI"), und dem im Auftragsformular bezeichneten Kunden (nachfolgend "Kunde").</w:t>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Geltungsbereich und Begriffe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Diese Anlage gilt, wenn im Auftragsformular (Ziffer 3.4) eine </w:t>
      </w:r>
      <w:r>
        <w:rPr>
          <w:rFonts w:ascii="Arial" w:cs="Arial" w:eastAsia="Arial" w:hAnsi="Arial"/>
          <w:b/>
          <w:bCs/>
          <w:i w:val="false"/>
          <w:iCs w:val="false"/>
          <w:color w:val="1A1A1A"/>
          <w:sz w:val="21"/>
          <w:szCs w:val="21"/>
        </w:rPr>
        <w:t xml:space="preserve">Kauflizenz</w:t>
      </w:r>
      <w:r>
        <w:rPr>
          <w:rFonts w:ascii="Arial" w:cs="Arial" w:eastAsia="Arial" w:hAnsi="Arial"/>
          <w:b w:val="false"/>
          <w:bCs w:val="false"/>
          <w:i w:val="false"/>
          <w:iCs w:val="false"/>
          <w:color w:val="1A1A1A"/>
          <w:sz w:val="21"/>
          <w:szCs w:val="21"/>
        </w:rPr>
        <w:t xml:space="preserve"> oder eine </w:t>
      </w:r>
      <w:r>
        <w:rPr>
          <w:rFonts w:ascii="Arial" w:cs="Arial" w:eastAsia="Arial" w:hAnsi="Arial"/>
          <w:b/>
          <w:bCs/>
          <w:i w:val="false"/>
          <w:iCs w:val="false"/>
          <w:color w:val="1A1A1A"/>
          <w:sz w:val="21"/>
          <w:szCs w:val="21"/>
        </w:rPr>
        <w:t xml:space="preserve">Projektanwendung zum Festpreis</w:t>
      </w:r>
      <w:r>
        <w:rPr>
          <w:rFonts w:ascii="Arial" w:cs="Arial" w:eastAsia="Arial" w:hAnsi="Arial"/>
          <w:b w:val="false"/>
          <w:bCs w:val="false"/>
          <w:i w:val="false"/>
          <w:iCs w:val="false"/>
          <w:color w:val="1A1A1A"/>
          <w:sz w:val="21"/>
          <w:szCs w:val="21"/>
        </w:rPr>
        <w:t xml:space="preserve"> vereinbart ist. Kauflizenz ist die Überlassung einer Anwendung von NexAI (derzeit NexAI CRM) gegen eine einmalige Lizenzvergütung je Zugang zum Betrieb auf der Infrastruktur des Kunden. Projektanwendung ist eine für den Kunden individuell entwickelte Anwendung (NexAI App) gegen Festpreis, die NexAI während der Pflege betreibt (Ziffer 8).</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Diese Anlage geht § 10 Abs. (2) des Rahmenvertrags und § 7 der AGB vor (§ 10 Abs. (5) des Rahmenvertrags). Im Übrigen gelten der Rahmenvertrag und seine Anlagen.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Unterstützungszeitraum</w:t>
      </w:r>
      <w:r>
        <w:rPr>
          <w:rFonts w:ascii="Arial" w:cs="Arial" w:eastAsia="Arial" w:hAnsi="Arial"/>
          <w:b w:val="false"/>
          <w:bCs w:val="false"/>
          <w:i w:val="false"/>
          <w:iCs w:val="false"/>
          <w:color w:val="1A1A1A"/>
          <w:sz w:val="21"/>
          <w:szCs w:val="21"/>
        </w:rPr>
        <w:t xml:space="preserve"> ist der Zeitraum, in dem NexAI für eine Anwendung Sicherheitsaktualisierungen bereitstellt. Er beträgt </w:t>
      </w:r>
      <w:r>
        <w:rPr>
          <w:rFonts w:ascii="Arial" w:cs="Arial" w:eastAsia="Arial" w:hAnsi="Arial"/>
          <w:b/>
          <w:bCs/>
          <w:i w:val="false"/>
          <w:iCs w:val="false"/>
          <w:color w:val="1A1A1A"/>
          <w:sz w:val="21"/>
          <w:szCs w:val="21"/>
        </w:rPr>
        <w:t xml:space="preserve">sieben (7) Jahre</w:t>
      </w:r>
      <w:r>
        <w:rPr>
          <w:rFonts w:ascii="Arial" w:cs="Arial" w:eastAsia="Arial" w:hAnsi="Arial"/>
          <w:b w:val="false"/>
          <w:bCs w:val="false"/>
          <w:i w:val="false"/>
          <w:iCs w:val="false"/>
          <w:color w:val="1A1A1A"/>
          <w:sz w:val="21"/>
          <w:szCs w:val="21"/>
        </w:rPr>
        <w:t xml:space="preserve"> ab dem Lizenzkauf (Kauflizenz) bzw. ab der Abnahme (Projektanwendung). Sein Enddatum mit Monat und Jahr steht im Auftragsformular (Ziffer 3.4).</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Version</w:t>
      </w:r>
      <w:r>
        <w:rPr>
          <w:rFonts w:ascii="Arial" w:cs="Arial" w:eastAsia="Arial" w:hAnsi="Arial"/>
          <w:b w:val="false"/>
          <w:bCs w:val="false"/>
          <w:i w:val="false"/>
          <w:iCs w:val="false"/>
          <w:color w:val="1A1A1A"/>
          <w:sz w:val="21"/>
          <w:szCs w:val="21"/>
        </w:rPr>
        <w:t xml:space="preserve"> ist der jeweils von NexAI bereitgestellte Stand der Anwendung mit seiner Versionskennung [setzt voraus: Versionskennung der Anwendung]. Die beim Lizenzkauf überlassene Version wird bei der Abnahme der Installation (Anlage D) festgehalten.</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Nutzungsrecht bei der Kauflizenz</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Mit vollständiger Zahlung der Lizenzvergütung räumt NexAI dem Kunden das zeitlich unbefristete, nicht ausschließliche Recht ein, die Anwendung in der überlassenen und in jeder später bereitgestellten Version mit der vereinbarten Zahl von Zugängen für eigene Geschäftszwecke zu nutzen. Bis zur vollständigen Zahlung ist die Nutzung vorläufig gestattet.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Ein Zugang ist die Möglichkeit einer natürlichen Person, sich an der Anwendung anzumelden; er ist persönlich und nicht zur gemeinsamen Nutzung durch mehrere Personen bestimmt. Weitere Zugänge kann der Kunde zur jeweils gültigen Lizenzvergütung hinzukaufen.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darf die für den bestimmungsgemäßen Betrieb erforderlichen Vervielfältigungen anfertigen, insbesondere die Installation auf seiner Infrastruktur und Sicherungskopien (§ 69d Abs. 2 UrhG). Ein Betrieb der Anwendung als Dienst für Dritte ist nicht gestattet.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Lieferform: NexAI liefert die Anwendung als fertige, von NexAI signierte Programmpakete [setzt voraus: Update-Weg für Kundeninstallationen]; einen Anspruch auf Überlassung des Quelltextes hat der Kunde nicht. Rechte an wiederverwendbaren Bestandteilen, Werkzeugen und Kenntnissen von NexAI bleiben bei NexAI (§ 10 Abs. (1) des Rahmenvertrags).</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[Weitergabe an Dritte – von Max zu entscheiden; Vorschlag: zulässig nur für die Lizenz insgesamt, wenn der Kunde die eigene Nutzung vollständig aufgibt, seine Kopien unbrauchbar macht und NexAI den Erwerber in Textform mitteilt.]</w:t>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Aktualisierungen und Unterstützungszeitraum</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Während des Unterstützungszeitraums stellt NexAI jedem Kunden die jeweils neueste Version der Anwendung mit allen Sicherheits- und Funktionsaktualisierungen </w:t>
      </w:r>
      <w:r>
        <w:rPr>
          <w:rFonts w:ascii="Arial" w:cs="Arial" w:eastAsia="Arial" w:hAnsi="Arial"/>
          <w:b/>
          <w:bCs/>
          <w:i w:val="false"/>
          <w:iCs w:val="false"/>
          <w:color w:val="1A1A1A"/>
          <w:sz w:val="21"/>
          <w:szCs w:val="21"/>
        </w:rPr>
        <w:t xml:space="preserve">kostenlos</w:t>
      </w:r>
      <w:r>
        <w:rPr>
          <w:rFonts w:ascii="Arial" w:cs="Arial" w:eastAsia="Arial" w:hAnsi="Arial"/>
          <w:b w:val="false"/>
          <w:bCs w:val="false"/>
          <w:i w:val="false"/>
          <w:iCs w:val="false"/>
          <w:color w:val="1A1A1A"/>
          <w:sz w:val="21"/>
          <w:szCs w:val="21"/>
        </w:rPr>
        <w:t xml:space="preserve"> bereit, unabhängig davon, ob Pflege vereinbart ist [setzt voraus: Update-Weg für Kundeninstallationen].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Sicherheitsaktualisierungen stellt NexAI unverzüglich nach Behebung einer Schwachstelle über einen gesicherten Verteilweg bereit, soweit technisch machbar getrennt von Funktionsaktualisierungen und zusammen mit Hinweisen zu den zu treffenden Maßnahmen (vgl. Verordnung (EU) 2024/2847, Anhang I Teil II Nr. 2, 7 und 8) [setzt voraus: Update-Weg für Kundeninstallationen].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Jede bereitgestellte Sicherheitsaktualisierung bleibt mindestens zehn (10) Jahre nach ihrer Bereitstellung oder für die restliche Dauer des Unterstützungszeitraums abrufbar, je nachdem, welcher Zeitraum länger ist (vgl. Art. 13 Abs. 9 der Verordnung (EU) 2024/2847) [setzt voraus: Update-Weg für Kundeninstallationen].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weist den Kunden spätestens [sechs (6) Monate] vor dem Ende des Unterstützungszeitraums in Textform auf das Ende hin und zeigt, soweit technisch machbar, in der Anwendung eine entsprechende Mitteilung an [setzt voraus: Hinweisfunktion in der Anwendung]. Nach dem Ende stellt NexAI keine Sicherheitsaktualisierungen mehr bereit; der weitere Betrieb erfolgt auf Risiko des Kunden. Eine Verlängerung kann gesondert vereinbart werden.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Beim Lizenzkauf übergibt NexAI die Nutzerinformation nach Anhang II der Verordnung (EU) 2024/2847 mit der Kontaktstelle für Sicherheitsmeldungen, dem Enddatum des Unterstützungszeitraums und Hinweisen zur sicheren Installation und Nutzung.</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Schwachstellen meldet der Kunde an security@nex-a-i.com [setzt voraus: Postfach eingerichtet; bis dahin mbt@nex-a-i.com]. Erlangt NexAI Kenntnis von einer aktiv ausgenutzten Schwachstelle oder einem schwerwiegenden Sicherheitsvorfall, der die Anwendung betrifft, informiert NexAI den Kunden darüber und über Maßnahmen, die er ergreifen kann (vgl. Art. 14 Abs. 8 der Verordnung (EU) 2024/2847).</w:t>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Betrieb durch den Kunden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betreibt die Anwendung auf seiner eigenen Infrastruktur. Für Bereitstellung, Betrieb, Verfügbarkeit, Überwachung, Absicherung und Datensicherung dieser Infrastruktur ist der Kunde verantwortlich; die Systemvoraussetzungen nennt die Dokumentation. Anlage C gilt nur nach ihrer Ziffer 12.</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spielt bereitgestellte Sicherheitsaktualisierungen innerhalb von [vierzehn (14) Tagen] nach Bereitstellung ein, als kritisch gekennzeichnete unverzüglich, oder ermöglicht NexAI das Einspielen über den Wartungszugang. Unterlässt er das, muss er sich Schäden, die bei rechtzeitigem Einspielen nicht eingetreten wären, nach § 254 BGB anrechnen lassen.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sichert die Daten der Anwendung nach dem Stand der Technik, mindestens täglich. Bei einfacher Fahrlässigkeit haftet NexAI für den Verlust von Daten in der vom Kunden betriebenen Anwendung nur in Höhe des Aufwands, der bei ordnungsgemäßer, dem Risiko angemessener Datensicherung durch den Kunden zu ihrer Wiederherstellung erforderlich gewesen wäre; § 12 Abs. (1) des Rahmenvertrags bleibt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Bindet die Anwendung Dienste Dritter ein (etwa für E-Mail- oder SMS-Versand oder KI-Funktionen), schließt der Kunde die erforderlichen Verträge mit diesen Diensten selbst, soweit im Auftragsformular nichts anderes vereinbart ist.</w:t>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Wartungszugang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gewährt NexAI den im Auftragsformular beschriebenen Fernzugang zur Installation (Wartungszugang), soweit er für Installation, Einspielen von Aktualisierungen, Störungsbeseitigung und Support erforderlich ist.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nutzt den Wartungszugang nur zu diesen Zwecken und nach vorheriger Absprache, bei als kritisch gekennzeichneten Sicherheitsaktualisierungen auch kurzfristig nach Ankündigung. NexAI dokumentiert jeden Zugriff mit Anlass und Zeitpunkt und stellt die Aufzeichnungen dem Kunden auf Verlangen zur Verfügung.</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kann den Wartungszugang jederzeit sperren. Leistungen, die den Zugang voraussetzen, ruhen für diese Zeit; Ziffer 4 Abs. (2) Satz 2 gilt entsprechend.</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Bei Vertragsende gibt NexAI den Wartungszugang zurück und löscht die bei ihr gespeicherten Zugangsdaten.</w:t>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Datenschutz beim Betrieb durch den Kunden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ist für die in der Anwendung verarbeiteten personenbezogenen Daten Verantwortlicher. NexAI hat außerhalb von Wartungs- und Supportzugriffen keinen Zugriff auf diese Daten.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Soweit NexAI bei Wartungs- und Supportzugriffen personenbezogene Daten verarbeitet oder nicht ausschließen kann, dass sie dabei zur Kenntnis gelangen, ist NexAI Auftragsverarbeiter; dafür gilt Anlage B. Unterauftragsverarbeiter setzt NexAI dabei nur nach § 9 der Anlage B ein.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Maßnahmen nach Anhang 1 der Anlage B betreffen die von NexAI betriebenen Systeme; für seine Infrastruktur trifft der Kunde die Maßnahmen nach Art. 32 DSGVO.</w:t>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Pflege (Support)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Pflege kann für die Zeit ab dem zweiten Jahr nach der Überlassung vereinbart werden (Auftragsformular Ziffer 3.4). Die Vergütung ist der im Auftragsformular genannte Jahresbetrag (Regelsatz 18 % des Listenpreises je Zugang); sie wird zu Beginn jedes Pflegejahres im Voraus berechnet.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Pflege umfasst ausschließlich Support und Reaktionszeiten nach Anlage C Ziffer 12. Aktualisierungen erhält der Kunde nach Ziffer 3 unabhängig von der Pflege.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Pflege läuft jeweils zwölf (12) Monate und verlängert sich um weitere zwölf (12) Monate, wenn sie nicht mit einer Frist von [drei (3) Monaten] zum Ende eines Pflegejahres in Textform gekündigt wird.</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Kündigung der Pflege lässt das Nutzungsrecht (Ziffer 2) und die Aktualisierungen (Ziffer 3) unberührt. Ohne Pflege erbringt NexAI Supportleistungen nach Aufwand.</w:t>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Projektanwendungen zum Festpreis (NexAI App)</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Entwicklung der Projektanwendung ist eine Projektleistung (Werkvertrag) und wird nach Anlage D abgenommen. Festpreis und Zahlungsplan ergeben sich aus dem Auftragsformular; ohne Zahlungsplan ist der Festpreis mit der Abnahme fällig.</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Mit vollständiger Zahlung erhält der Kunde das zeitlich unbefristete, nicht ausschließliche Recht, die Projektanwendung in der abgenommenen und in jeder später bereitgestellten Fassung für eigene Zwecke zu nutzen; Ziffer 2 Abs. (4) und (5) gilt entsprechend.</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Im ersten Jahr nach der Abnahme und danach während der Pflege betreibt NexAI die Projektanwendung auf eigenen Servern; die Serverkosten sind bis zu der im Auftragsformular genannten Nutzung (aktive Nutzer, Speicher) enthalten. Die Pflege umfasst Betrieb, Funktionsaktualisierungen, Support, Überwachung und Datensicherung. Für den Betrieb gelten Anlage B und Anlage C wie für andere von NexAI betriebene Anwendungen. Über die genannte Nutzung hinaus vereinbaren die Parteien die Vergütung gesondert; NexAI schaltet die Anwendung deswegen nicht ab.</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Sicherheitsaktualisierungen stellt NexAI während des Unterstützungszeitraums kostenlos bereit; solange NexAI die Projektanwendung betreibt, spielt NexAI sie selbst ein.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Endet die Pflege, [stellt NexAI den Betrieb zum Ende des Pflegejahres ein und übergibt dem Kunden auf Wunsch ein lauffähiges Abbild der Projektanwendung in der zuletzt bereitgestellten Fassung mit Installationshinweisen zum Betrieb auf eigener Infrastruktur; danach gelten die Ziffern 3 bis 6 entsprechend – von Max zu entscheiden]. Für die Daten gilt § 21 des Rahmenvertrags.</w:t>
      </w:r>
    </w:p>
    <w:p>
      <w:pPr>
        <w:pStyle w:val="Heading1"/>
        <w:keepNext/>
        <w:spacing w:after="100" w:before="260"/>
      </w:pPr>
      <w:r>
        <w:rPr>
          <w:rFonts w:ascii="Arial" w:cs="Arial" w:eastAsia="Arial" w:hAnsi="Arial"/>
          <w:b/>
          <w:bCs/>
          <w:color w:val="1F3A8A"/>
          <w:sz w:val="24"/>
          <w:szCs w:val="24"/>
        </w:rPr>
        <w:t xml:space="preserve">9.  </w:t>
      </w:r>
      <w:r>
        <w:rPr>
          <w:rFonts w:ascii="Arial" w:cs="Arial" w:eastAsia="Arial" w:hAnsi="Arial"/>
          <w:b/>
          <w:bCs/>
          <w:i w:val="false"/>
          <w:iCs w:val="false"/>
          <w:color w:val="0B0B0F"/>
          <w:sz w:val="24"/>
          <w:szCs w:val="24"/>
        </w:rPr>
        <w:t xml:space="preserve">Haftung und Schlussbestimmungen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Für die Haftung gilt § 12 des Rahmenvertrags; Ziffer 4 Abs. (2) und (3) bleibt unberührt.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Im Übrigen gelten der Rahmenvertrag und seine Anlagen.</w:t>
      </w:r>
    </w:p>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spacing w:after="20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10.  </w:t>
      </w:r>
      <w:r>
        <w:rPr>
          <w:rFonts w:ascii="Arial" w:cs="Arial" w:eastAsia="Arial" w:hAnsi="Arial"/>
          <w:b/>
          <w:bCs/>
          <w:i w:val="false"/>
          <w:iCs w:val="false"/>
          <w:color w:val="0B0B0F"/>
          <w:sz w:val="24"/>
          <w:szCs w:val="24"/>
        </w:rPr>
        <w:t xml:space="preserve">Unterschriften</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Funktion (Gesellschafter oder Vertriebsleitung in Vollmacht für NexAI)</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NexAI – Vertragswerk (Gesamtdokument)</dc:title>
  <dc:creator>NexAI</dc:creator>
  <cp:lastModifiedBy>Un-named</cp:lastModifiedBy>
  <cp:revision>1</cp:revision>
  <dcterms:created xsi:type="dcterms:W3CDTF">2026-10-20T22:59:30.897Z</dcterms:created>
  <dcterms:modified xsi:type="dcterms:W3CDTF">2026-10-20T22:59:30.898Z</dcterms:modified>
</cp:coreProperties>
</file>

<file path=docProps/custom.xml><?xml version="1.0" encoding="utf-8"?>
<Properties xmlns="http://schemas.openxmlformats.org/officeDocument/2006/custom-properties" xmlns:vt="http://schemas.openxmlformats.org/officeDocument/2006/docPropsVTypes"/>
</file>