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Auftragsformular / Leistungsschein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Leistungsschein zum Rahmenvertrag über KI-Agenten und Anwendungen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Dieses Auftragsformular (nachfolgend "Leistungsschein") konkretisiert die konkret beauftragten Leistungen, Beträge und Rahmenbedingungen zwischen den nachstehenden Parteien. Er ist ein </w:t>
      </w:r>
      <w:r>
        <w:rPr>
          <w:rFonts w:ascii="Arial" w:cs="Arial" w:eastAsia="Arial" w:hAnsi="Arial"/>
          <w:b/>
          <w:bCs/>
          <w:i w:val="false"/>
          <w:iCs w:val="false"/>
          <w:color w:val="1A1A1A"/>
          <w:sz w:val="21"/>
          <w:szCs w:val="21"/>
        </w:rPr>
        <w:t xml:space="preserve">Vertragsdokument</w:t>
      </w:r>
      <w:r>
        <w:rPr>
          <w:rFonts w:ascii="Arial" w:cs="Arial" w:eastAsia="Arial" w:hAnsi="Arial"/>
          <w:b w:val="false"/>
          <w:bCs w:val="false"/>
          <w:i w:val="false"/>
          <w:iCs w:val="false"/>
          <w:color w:val="1A1A1A"/>
          <w:sz w:val="21"/>
          <w:szCs w:val="21"/>
        </w:rPr>
        <w:t xml:space="preserve"> im Sinne des Rahmenvertrags. Bei Widersprüchen zwischen diesem Leistungsschein, dem Rahmenvertrag, den Anlagen und den AGB (B2B) gilt die im Rahmenvertrag festgelegte Rangfolge. Die in diesem Leistungsschein individuell ausgehandelten Eintragungen gehen den übrigen Vertragsdokumenten nach § 305b BGB vor.</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Vertragsparteien</w:t>
      </w:r>
    </w:p>
    <w:p>
      <w:pPr>
        <w:pStyle w:val="Heading2"/>
        <w:keepNext/>
        <w:spacing w:after="80" w:before="160"/>
      </w:pPr>
      <w:r>
        <w:rPr>
          <w:rFonts w:ascii="Arial" w:cs="Arial" w:eastAsia="Arial" w:hAnsi="Arial"/>
          <w:b/>
          <w:bCs/>
          <w:i w:val="false"/>
          <w:iCs w:val="false"/>
          <w:color w:val="0B0B0F"/>
          <w:sz w:val="21"/>
          <w:szCs w:val="21"/>
        </w:rPr>
        <w:t xml:space="preserve">Auftragnehmer ("NexAI")</w:t>
      </w:r>
    </w:p>
    <w:p>
      <w:pPr>
        <w:spacing w:after="120" w:line="276"/>
        <w:jc w:val="both"/>
      </w:pPr>
      <w:r>
        <w:rPr>
          <w:rFonts w:ascii="Arial" w:cs="Arial" w:eastAsia="Arial" w:hAnsi="Arial"/>
          <w:b w:val="false"/>
          <w:bCs w:val="false"/>
          <w:i w:val="false"/>
          <w:iCs w:val="false"/>
          <w:color w:val="1A1A1A"/>
          <w:sz w:val="21"/>
          <w:szCs w:val="21"/>
        </w:rPr>
        <w:t xml:space="preserve">NexAI – Next Generation Artificial Intelligence GbR, Untere Bergstraße 13, 74586 Frankenhardt-Honhardt, Deutschland, vertreten durch die Gesellschafter Maximilian Trenk und Jason Brian Merklein, jeder allein (§ 720 Abs. 2 BGB), oder durch eine bevollmächtigte Person (Ziffer 16 des Leistungsscheins), E-Mail mbt@nex-a-i.com, Telefon 0176 80714816.</w:t>
      </w:r>
    </w:p>
    <w:p>
      <w:pPr>
        <w:pStyle w:val="Heading2"/>
        <w:keepNext/>
        <w:spacing w:after="80" w:before="160"/>
      </w:pPr>
      <w:r>
        <w:rPr>
          <w:rFonts w:ascii="Arial" w:cs="Arial" w:eastAsia="Arial" w:hAnsi="Arial"/>
          <w:b/>
          <w:bCs/>
          <w:i w:val="false"/>
          <w:iCs w:val="false"/>
          <w:color w:val="0B0B0F"/>
          <w:sz w:val="21"/>
          <w:szCs w:val="21"/>
        </w:rPr>
        <w:t xml:space="preserve">Auftraggeber ("Kunde")</w:t>
      </w:r>
    </w:p>
    <w:p>
      <w:pPr>
        <w:spacing w:after="120"/>
      </w:pPr>
      <w:r>
        <w:rPr>
          <w:rFonts w:ascii="Arial" w:cs="Arial" w:eastAsia="Arial" w:hAnsi="Arial"/>
          <w:b/>
          <w:bCs/>
          <w:color w:val="1A1A1A"/>
          <w:sz w:val="21"/>
          <w:szCs w:val="21"/>
        </w:rPr>
        <w:t xml:space="preserve">Firma / Unternehmen: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Rechtsform: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Ansprechpartner / Funktion: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(Straße, Hausnr.):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PLZ / Ort: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Land: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Rechnungs-E-Mail-Adresse (für Rechnungen und Mahnungen):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USt-IdNr. / Steuernummer: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Handelsregister / Registergericht (soweit vorhanden):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Der Kunde bestätigt, den Vertrag als Unternehmer im Sinne des § 14 BGB in Ausübung seiner gewerblichen oder selbständigen beruflichen Tätigkeit abzuschließen (B2B).</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Bezug zum Rahmenvertrag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Diesem Leistungsschein liegt der zwischen den Parteien geschlossene Rahmenvertrag über KI-Agenten und Anwendungen (nachfolgend "Rahmenvertrag") nebst seinen Anlagen zugrunde. Die dort definierten Begriffe gelten in diesem Leistungsschein einheitlich.</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Mit Unterzeichnung dieses Leistungsscheins bestätigt der Kunde, dass ihm der Rahmenvertrag, die AGB (B2B) sowie die Anlagen A (Leistungsbeschreibung), B (AVV), C (SLA), D (Abnahmeprotokoll) und, soweit eine Kauflizenz oder Projektanwendung beauftragt ist, E (Kauflizenz und Projektanwendungen) vorliegen und Vertragsbestandteil sind.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datenschutzrechtliche Rollenverteilung (Verantwortlicher / Auftragsverarbeiter) richtet sich nach Anlage B (AVV); die Rollenverteilung nach der KI-VO ergibt sich aus Ziffer 4 dieses Leistungsscheins.</w:t>
      </w:r>
    </w:p>
    <w:p>
      <w:pPr>
        <w:spacing w:after="120"/>
      </w:pPr>
      <w:r>
        <w:rPr>
          <w:rFonts w:ascii="Arial" w:cs="Arial" w:eastAsia="Arial" w:hAnsi="Arial"/>
          <w:b/>
          <w:bCs/>
          <w:color w:val="1A1A1A"/>
          <w:sz w:val="21"/>
          <w:szCs w:val="21"/>
        </w:rPr>
        <w:t xml:space="preserve">Rahmenvertrag vom / Version: </w:t>
      </w:r>
      <w:r>
        <w:rPr>
          <w:rFonts w:ascii="Arial" w:cs="Arial" w:eastAsia="Arial" w:hAnsi="Arial"/>
          <w:color w:val="6B7280"/>
          <w:sz w:val="21"/>
          <w:szCs w:val="21"/>
          <w:u w:val="single"/>
        </w:rPr>
        <w:t xml:space="preserve">                                                </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Beauftragte Leistungen</w:t>
      </w:r>
    </w:p>
    <w:p>
      <w:pPr>
        <w:spacing w:after="120" w:line="276"/>
        <w:jc w:val="both"/>
      </w:pPr>
      <w:r>
        <w:rPr>
          <w:rFonts w:ascii="Arial" w:cs="Arial" w:eastAsia="Arial" w:hAnsi="Arial"/>
          <w:b w:val="false"/>
          <w:bCs w:val="false"/>
          <w:i w:val="false"/>
          <w:iCs w:val="false"/>
          <w:color w:val="1A1A1A"/>
          <w:sz w:val="21"/>
          <w:szCs w:val="21"/>
        </w:rPr>
        <w:t xml:space="preserve">Der Kunde beauftragt die nachfolgend angekreuzten Leistungen. Die nähere Beschreibung ergibt sich aus Anlage A (Leistungsbeschreibung).</w:t>
      </w:r>
    </w:p>
    <w:p>
      <w:pPr>
        <w:pStyle w:val="Heading2"/>
        <w:keepNext/>
        <w:spacing w:after="80" w:before="160"/>
      </w:pPr>
      <w:r>
        <w:rPr>
          <w:rFonts w:ascii="Arial" w:cs="Arial" w:eastAsia="Arial" w:hAnsi="Arial"/>
          <w:b/>
          <w:bCs/>
          <w:i w:val="false"/>
          <w:iCs w:val="false"/>
          <w:color w:val="0B0B0F"/>
          <w:sz w:val="21"/>
          <w:szCs w:val="21"/>
        </w:rPr>
        <w:t xml:space="preserve">3.1 Betriebsleistungen (laufender Betrieb von Agenten und Anwendungen)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Voice Agent</w:t>
      </w:r>
      <w:r>
        <w:rPr>
          <w:rFonts w:ascii="Arial" w:cs="Arial" w:eastAsia="Arial" w:hAnsi="Arial"/>
          <w:b w:val="false"/>
          <w:bCs w:val="false"/>
          <w:i w:val="false"/>
          <w:iCs w:val="false"/>
          <w:color w:val="1A1A1A"/>
          <w:sz w:val="21"/>
          <w:szCs w:val="21"/>
        </w:rPr>
        <w:t xml:space="preserve"> (KI-Telefonassistent für eingehende Gespräche; ausgehende Gespräche sind derzeit nicht verfügbar und nur nach gesonderter Beauftragung nach § 15 des Rahmenvertrags möglich)</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Chat Agent</w:t>
      </w:r>
      <w:r>
        <w:rPr>
          <w:rFonts w:ascii="Arial" w:cs="Arial" w:eastAsia="Arial" w:hAnsi="Arial"/>
          <w:b w:val="false"/>
          <w:bCs w:val="false"/>
          <w:i w:val="false"/>
          <w:iCs w:val="false"/>
          <w:color w:val="1A1A1A"/>
          <w:sz w:val="21"/>
          <w:szCs w:val="21"/>
        </w:rPr>
        <w:t xml:space="preserve"> (KI-Chatassistent für Website, Messenger o. Ä.)</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CRM – Betrieb durch NexAI</w:t>
      </w:r>
      <w:r>
        <w:rPr>
          <w:rFonts w:ascii="Arial" w:cs="Arial" w:eastAsia="Arial" w:hAnsi="Arial"/>
          <w:b w:val="false"/>
          <w:bCs w:val="false"/>
          <w:i w:val="false"/>
          <w:iCs w:val="false"/>
          <w:color w:val="1A1A1A"/>
          <w:sz w:val="21"/>
          <w:szCs w:val="21"/>
        </w:rPr>
        <w:t xml:space="preserve"> (Kundensystem; nur nach gesonderter Vereinbarung, Regelfall ist die Kauflizenz nach Ziffer 3.4)</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Kalender</w:t>
      </w:r>
      <w:r>
        <w:rPr>
          <w:rFonts w:ascii="Arial" w:cs="Arial" w:eastAsia="Arial" w:hAnsi="Arial"/>
          <w:b w:val="false"/>
          <w:bCs w:val="false"/>
          <w:i w:val="false"/>
          <w:iCs w:val="false"/>
          <w:color w:val="1A1A1A"/>
          <w:sz w:val="21"/>
          <w:szCs w:val="21"/>
        </w:rPr>
        <w:t xml:space="preserve"> (Online-Terminbuchung mit Bestätigung und Erinnerung)</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Mailagent</w:t>
      </w:r>
      <w:r>
        <w:rPr>
          <w:rFonts w:ascii="Arial" w:cs="Arial" w:eastAsia="Arial" w:hAnsi="Arial"/>
          <w:b w:val="false"/>
          <w:bCs w:val="false"/>
          <w:i w:val="false"/>
          <w:iCs w:val="false"/>
          <w:color w:val="1A1A1A"/>
          <w:sz w:val="21"/>
          <w:szCs w:val="21"/>
        </w:rPr>
        <w:t xml:space="preserve"> (Postfachassistent: Einstufung, Fristen, Rechnungen, Betrugsprüfung und Antwortentwürfe zur Freigabe; Angaben nach Ziffer 3.3)</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Automatisierung</w:t>
      </w:r>
      <w:r>
        <w:rPr>
          <w:rFonts w:ascii="Arial" w:cs="Arial" w:eastAsia="Arial" w:hAnsi="Arial"/>
          <w:b w:val="false"/>
          <w:bCs w:val="false"/>
          <w:i w:val="false"/>
          <w:iCs w:val="false"/>
          <w:color w:val="1A1A1A"/>
          <w:sz w:val="21"/>
          <w:szCs w:val="21"/>
        </w:rPr>
        <w:t xml:space="preserve"> (Prozess-/Workflow-Automatisierungen)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Individuelle KI-Agenten</w:t>
      </w:r>
      <w:r>
        <w:rPr>
          <w:rFonts w:ascii="Arial" w:cs="Arial" w:eastAsia="Arial" w:hAnsi="Arial"/>
          <w:b w:val="false"/>
          <w:bCs w:val="false"/>
          <w:i w:val="false"/>
          <w:iCs w:val="false"/>
          <w:color w:val="1A1A1A"/>
          <w:sz w:val="21"/>
          <w:szCs w:val="21"/>
        </w:rPr>
        <w:t xml:space="preserve"> (kundenspezifisch entwickelte Agenten)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NexAI App</w:t>
      </w:r>
      <w:r>
        <w:rPr>
          <w:rFonts w:ascii="Arial" w:cs="Arial" w:eastAsia="Arial" w:hAnsi="Arial"/>
          <w:b w:val="false"/>
          <w:bCs w:val="false"/>
          <w:i w:val="false"/>
          <w:iCs w:val="false"/>
          <w:color w:val="1A1A1A"/>
          <w:sz w:val="21"/>
          <w:szCs w:val="21"/>
        </w:rPr>
        <w:t xml:space="preserve"> (individuelle installierbare Anwendung für Kunden oder Beschäftigte; Betrieb und Pflege der Projektanwendung nach Anlage E Ziffer 8)</w:t>
      </w:r>
    </w:p>
    <w:p>
      <w:pPr>
        <w:pStyle w:val="Heading2"/>
        <w:keepNext/>
        <w:spacing w:after="80" w:before="160"/>
      </w:pPr>
      <w:r>
        <w:rPr>
          <w:rFonts w:ascii="Arial" w:cs="Arial" w:eastAsia="Arial" w:hAnsi="Arial"/>
          <w:b/>
          <w:bCs/>
          <w:i w:val="false"/>
          <w:iCs w:val="false"/>
          <w:color w:val="0B0B0F"/>
          <w:sz w:val="21"/>
          <w:szCs w:val="21"/>
        </w:rPr>
        <w:t xml:space="preserve">3.2 Projektleistungen (einmalige Werkleistungen)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Einrichtung und Bereitstellung von Anwendungen</w:t>
      </w:r>
      <w:r>
        <w:rPr>
          <w:rFonts w:ascii="Arial" w:cs="Arial" w:eastAsia="Arial" w:hAnsi="Arial"/>
          <w:b w:val="false"/>
          <w:bCs w:val="false"/>
          <w:i w:val="false"/>
          <w:iCs w:val="false"/>
          <w:color w:val="1A1A1A"/>
          <w:sz w:val="21"/>
          <w:szCs w:val="21"/>
        </w:rPr>
        <w:t xml:space="preserve"> (NexAI Kalender, NexAI Mailagent, NexAI App; Abnahme nach Anlage D)</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Installation des NexAI CRM</w:t>
      </w:r>
      <w:r>
        <w:rPr>
          <w:rFonts w:ascii="Arial" w:cs="Arial" w:eastAsia="Arial" w:hAnsi="Arial"/>
          <w:b w:val="false"/>
          <w:bCs w:val="false"/>
          <w:i w:val="false"/>
          <w:iCs w:val="false"/>
          <w:color w:val="1A1A1A"/>
          <w:sz w:val="21"/>
          <w:szCs w:val="21"/>
        </w:rPr>
        <w:t xml:space="preserve"> auf der Infrastruktur des Kunden (Kauflizenz nach Ziffer 3.4; Abnahme nach Anlage D)</w:t>
      </w:r>
    </w:p>
    <w:p>
      <w:pPr>
        <w:spacing w:after="140" w:before="80"/>
      </w:pPr>
      <w:r>
        <w:rPr>
          <w:rFonts w:ascii="Arial" w:cs="Arial" w:eastAsia="Arial" w:hAnsi="Arial"/>
          <w:b w:val="false"/>
          <w:bCs w:val="false"/>
          <w:i/>
          <w:iCs/>
          <w:color w:val="6B7280"/>
          <w:sz w:val="18"/>
          <w:szCs w:val="18"/>
        </w:rPr>
        <w:t xml:space="preserve">Projektleistungen unterliegen dem Werkvertragsrecht; für Betriebsleistungen gilt § 3 Abs. (2) des Rahmenvertrags. Ausgehende Werbung durch Agenten nur mit vorheriger ausdrücklicher Einwilligung jedes Angesprochenen (§ 15 des Rahmenvertrags).</w:t>
      </w:r>
    </w:p>
    <w:p>
      <w:pPr>
        <w:pStyle w:val="Heading2"/>
        <w:keepNext/>
        <w:spacing w:after="80" w:before="160"/>
      </w:pPr>
      <w:r>
        <w:rPr>
          <w:rFonts w:ascii="Arial" w:cs="Arial" w:eastAsia="Arial" w:hAnsi="Arial"/>
          <w:b/>
          <w:bCs/>
          <w:i w:val="false"/>
          <w:iCs w:val="false"/>
          <w:color w:val="0B0B0F"/>
          <w:sz w:val="21"/>
          <w:szCs w:val="21"/>
        </w:rPr>
        <w:t xml:space="preserve">3.3 Angaben zum NexAI Mailagent</w:t>
      </w:r>
    </w:p>
    <w:p>
      <w:pPr>
        <w:spacing w:after="120" w:line="276"/>
        <w:jc w:val="both"/>
      </w:pPr>
      <w:r>
        <w:rPr>
          <w:rFonts w:ascii="Arial" w:cs="Arial" w:eastAsia="Arial" w:hAnsi="Arial"/>
          <w:b w:val="false"/>
          <w:bCs w:val="false"/>
          <w:i w:val="false"/>
          <w:iCs w:val="false"/>
          <w:color w:val="1A1A1A"/>
          <w:sz w:val="21"/>
          <w:szCs w:val="21"/>
        </w:rPr>
        <w:t xml:space="preserve">Nur auszufüllen, wenn der NexAI Mailagent beauftragt ist; ohne diese Angaben ist eine Einrichtung nicht möglich. Die Leistung beschreibt Anlage A Ziffer 5.4; datenschutzrechtlich ist NexAI Auftragsverarbeiter (Anlage B).</w:t>
      </w:r>
    </w:p>
    <w:p>
      <w:pPr>
        <w:spacing w:after="120"/>
      </w:pPr>
      <w:r>
        <w:rPr>
          <w:rFonts w:ascii="Arial" w:cs="Arial" w:eastAsia="Arial" w:hAnsi="Arial"/>
          <w:b/>
          <w:bCs/>
          <w:color w:val="1A1A1A"/>
          <w:sz w:val="21"/>
          <w:szCs w:val="21"/>
        </w:rPr>
        <w:t xml:space="preserve">Postfach 1 (Adresse und Zweck):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Postfach 2 (Adresse und Zweck):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Postfach 3 (Adresse und Zweck):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Anzahl der Zugänge (im monatlichen Beitrag enthalten: 3):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Anzahl der Postfächer (im monatlichen Beitrag enthalten: 3):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Personen mit Zugang (Name, Rolle):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Zugriff je Person auf Postfächer: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Person(en), die Entwürfe freigeben: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Zwei-Personen-Freigabe ab Betrag / weitere Auslöser: </w:t>
      </w:r>
      <w:r>
        <w:rPr>
          <w:rFonts w:ascii="Arial" w:cs="Arial" w:eastAsia="Arial" w:hAnsi="Arial"/>
          <w:color w:val="1A1A1A"/>
          <w:sz w:val="21"/>
          <w:szCs w:val="21"/>
        </w:rPr>
        <w:t xml:space="preserve">____ EUR / ____</w:t>
      </w:r>
    </w:p>
    <w:p>
      <w:pPr>
        <w:spacing w:after="120" w:line="276"/>
        <w:jc w:val="both"/>
      </w:pPr>
      <w:r>
        <w:rPr>
          <w:rFonts w:ascii="Arial" w:cs="Arial" w:eastAsia="Arial" w:hAnsi="Arial"/>
          <w:b/>
          <w:bCs/>
          <w:i w:val="false"/>
          <w:iCs w:val="false"/>
          <w:color w:val="1A1A1A"/>
          <w:sz w:val="21"/>
          <w:szCs w:val="21"/>
        </w:rPr>
        <w:t xml:space="preserve">Aufbewahrungsdauer</w:t>
      </w:r>
      <w:r>
        <w:rPr>
          <w:rFonts w:ascii="Arial" w:cs="Arial" w:eastAsia="Arial" w:hAnsi="Arial"/>
          <w:b w:val="false"/>
          <w:bCs w:val="false"/>
          <w:i w:val="false"/>
          <w:iCs w:val="false"/>
          <w:color w:val="1A1A1A"/>
          <w:sz w:val="21"/>
          <w:szCs w:val="21"/>
        </w:rPr>
        <w:t xml:space="preserve"> im Mailagenten (Anlage A Ziffer 5.4 Abs. (10)); ohne Eintrag gilt die Vorgabe, mindestens jedoch sieben (7) Tage:</w:t>
      </w:r>
    </w:p>
    <w:p>
      <w:pPr>
        <w:spacing w:after="120"/>
      </w:pPr>
      <w:r>
        <w:rPr>
          <w:rFonts w:ascii="Arial" w:cs="Arial" w:eastAsia="Arial" w:hAnsi="Arial"/>
          <w:b/>
          <w:bCs/>
          <w:color w:val="1A1A1A"/>
          <w:sz w:val="21"/>
          <w:szCs w:val="21"/>
        </w:rPr>
        <w:t xml:space="preserve">Nachrichten samt Auswertung (Vorgabe 180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Anhänge (Vorgabe 90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Verworfene Entwürfe (Vorgabe 90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Wortlaut im Freigabeprotokoll und Verwaltungsprotokoll (Vorgabe 1.095 Tage): </w:t>
      </w:r>
      <w:r>
        <w:rPr>
          <w:rFonts w:ascii="Arial" w:cs="Arial" w:eastAsia="Arial" w:hAnsi="Arial"/>
          <w:color w:val="1A1A1A"/>
          <w:sz w:val="21"/>
          <w:szCs w:val="21"/>
        </w:rPr>
        <w:t xml:space="preserve">____ Tage</w:t>
      </w:r>
    </w:p>
    <w:p>
      <w:pPr>
        <w:spacing w:after="120"/>
      </w:pPr>
      <w:r>
        <w:rPr>
          <w:rFonts w:ascii="Arial" w:cs="Arial" w:eastAsia="Arial" w:hAnsi="Arial"/>
          <w:b/>
          <w:bCs/>
          <w:color w:val="1A1A1A"/>
          <w:sz w:val="21"/>
          <w:szCs w:val="21"/>
        </w:rPr>
        <w:t xml:space="preserve">Übrige Angaben im Freigabeprotokoll (Vorgabe 6 volle Kalenderjahre nach dem Jahr der Freigabe): </w:t>
      </w:r>
      <w:r>
        <w:rPr>
          <w:rFonts w:ascii="Arial" w:cs="Arial" w:eastAsia="Arial" w:hAnsi="Arial"/>
          <w:color w:val="1A1A1A"/>
          <w:sz w:val="21"/>
          <w:szCs w:val="21"/>
        </w:rPr>
        <w:t xml:space="preserve">____ Jahre</w:t>
      </w:r>
    </w:p>
    <w:p>
      <w:pPr>
        <w:spacing w:after="140" w:before="80"/>
      </w:pPr>
      <w:r>
        <w:rPr>
          <w:rFonts w:ascii="Arial" w:cs="Arial" w:eastAsia="Arial" w:hAnsi="Arial"/>
          <w:b w:val="false"/>
          <w:bCs w:val="false"/>
          <w:i/>
          <w:iCs/>
          <w:color w:val="6B7280"/>
          <w:sz w:val="18"/>
          <w:szCs w:val="18"/>
        </w:rPr>
        <w:t xml:space="preserve">Eine Frist über der Vorgabe vereinbaren die Parteien hiermit ausdrücklich; der Kunde bestätigt sie zusätzlich in der Anwendung. Für die längere Aufbewahrung muss beim Kunden eine Rechtsgrundlage bestehen.</w:t>
      </w:r>
    </w:p>
    <w:p>
      <w:pPr>
        <w:spacing w:after="120"/>
      </w:pPr>
      <w:r>
        <w:rPr>
          <w:rFonts w:ascii="Arial" w:cs="Arial" w:eastAsia="Arial" w:hAnsi="Arial"/>
          <w:b/>
          <w:bCs/>
          <w:color w:val="1A1A1A"/>
          <w:sz w:val="21"/>
          <w:szCs w:val="21"/>
        </w:rPr>
        <w:t xml:space="preserve">Kostendeckel für den Modellverbrauch je Monat: </w:t>
      </w:r>
      <w:r>
        <w:rPr>
          <w:rFonts w:ascii="Arial" w:cs="Arial" w:eastAsia="Arial" w:hAnsi="Arial"/>
          <w:color w:val="1A1A1A"/>
          <w:sz w:val="21"/>
          <w:szCs w:val="21"/>
        </w:rPr>
        <w:t xml:space="preserve">____ EUR</w:t>
      </w:r>
    </w:p>
    <w:p>
      <w:pPr>
        <w:spacing w:after="120" w:line="276"/>
        <w:jc w:val="both"/>
      </w:pPr>
      <w:r>
        <w:rPr>
          <w:rFonts w:ascii="Arial" w:cs="Arial" w:eastAsia="Arial" w:hAnsi="Arial"/>
          <w:b/>
          <w:bCs/>
          <w:i w:val="false"/>
          <w:iCs w:val="false"/>
          <w:color w:val="1A1A1A"/>
          <w:sz w:val="21"/>
          <w:szCs w:val="21"/>
        </w:rPr>
        <w:t xml:space="preserve">Verarbeitung der Modellanfragen:</w:t>
      </w:r>
      <w:r>
        <w:rPr>
          <w:rFonts w:ascii="Arial" w:cs="Arial" w:eastAsia="Arial" w:hAnsi="Arial"/>
          <w:b w:val="false"/>
          <w:bCs w:val="false"/>
          <w:i w:val="false"/>
          <w:iCs w:val="false"/>
          <w:color w:val="1A1A1A"/>
          <w:sz w:val="21"/>
          <w:szCs w:val="21"/>
        </w:rPr>
        <w:t xml:space="preserve"> Die Modellanfragen werden derzeit von Anthropic Ireland, Limited mit Weiterübermittlung an Anthropic, PBC in die USA auf Grundlage der EU-Standardvertragsklauseln verarbeitet (Anlage B, Anhang 2). NexAI stellt auf eine Verarbeitung ausschließlich in Rechenzentren in der Europäischen Union (Amazon Web Services EMEA SARL, Amazon Bedrock) um, sobald sie für den Mailagenten verfügbar ist, und teilt dies mit einer Frist von vierzehn (14) Tagen mit (Anlage B § 9 Abs. (2)).</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Betrieb auf einem gemeinsam genutzten Server (eigene Instanz, eigene Datenbank)</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Betrieb auf einem eigenen Server</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Nur bei Anbindung über Google Workspace mit domänenweiter Delegierung: Der Kunde weiß, dass die Delegierung technisch den Zugriff auf alle Postfächer seiner Domäne ermöglicht und die Beschränkung auf die oben benannten Postfächer durch NexAI erfolgt.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dass die benannten Postfächer nicht dem Schutz eines Berufsgeheimnisses nach § 203 StGB unterliegen (Anlage B § 3a) und dass eine etwaige Beteiligung des Betriebsrats in seinem Haus erfolgt ist.</w:t>
      </w:r>
    </w:p>
    <w:p>
      <w:pPr>
        <w:spacing w:after="120" w:line="276"/>
        <w:jc w:val="both"/>
      </w:pPr>
      <w:r>
        <w:rPr>
          <w:rFonts w:ascii="Arial" w:cs="Arial" w:eastAsia="Arial" w:hAnsi="Arial"/>
          <w:b/>
          <w:bCs/>
          <w:i w:val="false"/>
          <w:iCs w:val="false"/>
          <w:color w:val="1A1A1A"/>
          <w:sz w:val="21"/>
          <w:szCs w:val="21"/>
        </w:rPr>
        <w:t xml:space="preserve">Buchung in der Anwendung:</w:t>
      </w:r>
      <w:r>
        <w:rPr>
          <w:rFonts w:ascii="Arial" w:cs="Arial" w:eastAsia="Arial" w:hAnsi="Arial"/>
          <w:b w:val="false"/>
          <w:bCs w:val="false"/>
          <w:i w:val="false"/>
          <w:iCs w:val="false"/>
          <w:color w:val="1A1A1A"/>
          <w:sz w:val="21"/>
          <w:szCs w:val="21"/>
        </w:rPr>
        <w:t xml:space="preserve"> Weitere Zugänge und Postfächer kann der Kunde nach Anlage A Ziffer 5.4 Abs. (13) in der Anwendung beauftragen. Die Beauftragung kommt mit der Bestätigung in der Anwendung zustande; § 24 Abs. (1) des Rahmenvertrags gilt insoweit nicht. Maßgeblich ist das Verwaltungsprotokoll. NexAI bestätigt jede Beauftragung per E-Mail an die hinterlegte Rechnungsadresse [setzt voraus: Buchungsmeldung an NexAI in jeder Kundeninstanz eingerichtet].</w:t>
      </w:r>
    </w:p>
    <w:p>
      <w:pPr>
        <w:pStyle w:val="Heading2"/>
        <w:keepNext/>
        <w:spacing w:after="80" w:before="160"/>
      </w:pPr>
      <w:r>
        <w:rPr>
          <w:rFonts w:ascii="Arial" w:cs="Arial" w:eastAsia="Arial" w:hAnsi="Arial"/>
          <w:b/>
          <w:bCs/>
          <w:i w:val="false"/>
          <w:iCs w:val="false"/>
          <w:color w:val="0B0B0F"/>
          <w:sz w:val="21"/>
          <w:szCs w:val="21"/>
        </w:rPr>
        <w:t xml:space="preserve">3.4 Kauflizenz und Projektanwendungen (Anlage E)</w:t>
      </w:r>
    </w:p>
    <w:p>
      <w:pPr>
        <w:spacing w:after="120" w:line="276"/>
        <w:jc w:val="both"/>
      </w:pPr>
      <w:r>
        <w:rPr>
          <w:rFonts w:ascii="Arial" w:cs="Arial" w:eastAsia="Arial" w:hAnsi="Arial"/>
          <w:b w:val="false"/>
          <w:bCs w:val="false"/>
          <w:i w:val="false"/>
          <w:iCs w:val="false"/>
          <w:color w:val="1A1A1A"/>
          <w:sz w:val="21"/>
          <w:szCs w:val="21"/>
        </w:rPr>
        <w:t xml:space="preserve">Nur auszufüllen, wenn eine Kauflizenz oder eine Projektanwendung zum Festpreis beauftragt ist.</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Kauflizenz NexAI CRM</w:t>
      </w:r>
      <w:r>
        <w:rPr>
          <w:rFonts w:ascii="Arial" w:cs="Arial" w:eastAsia="Arial" w:hAnsi="Arial"/>
          <w:b w:val="false"/>
          <w:bCs w:val="false"/>
          <w:i w:val="false"/>
          <w:iCs w:val="false"/>
          <w:color w:val="1A1A1A"/>
          <w:sz w:val="21"/>
          <w:szCs w:val="21"/>
        </w:rPr>
        <w:t xml:space="preserve"> (einmalige Lizenzvergütung je Zugang; Betrieb auf der Infrastruktur des Kunden)</w:t>
      </w:r>
    </w:p>
    <w:p>
      <w:pPr>
        <w:spacing w:after="120"/>
      </w:pPr>
      <w:r>
        <w:rPr>
          <w:rFonts w:ascii="Arial" w:cs="Arial" w:eastAsia="Arial" w:hAnsi="Arial"/>
          <w:b/>
          <w:bCs/>
          <w:color w:val="1A1A1A"/>
          <w:sz w:val="21"/>
          <w:szCs w:val="21"/>
        </w:rPr>
        <w:t xml:space="preserve">Anzahl der Zugänge: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Lizenzvergütung einmalig (netto): </w:t>
      </w:r>
      <w:r>
        <w:rPr>
          <w:rFonts w:ascii="Arial" w:cs="Arial" w:eastAsia="Arial" w:hAnsi="Arial"/>
          <w:color w:val="1A1A1A"/>
          <w:sz w:val="21"/>
          <w:szCs w:val="21"/>
        </w:rPr>
        <w:t xml:space="preserve">____ EUR</w:t>
      </w:r>
    </w:p>
    <w:p>
      <w:pPr>
        <w:spacing w:after="120"/>
      </w:pPr>
      <w:r>
        <w:rPr>
          <w:rFonts w:ascii="Arial" w:cs="Arial" w:eastAsia="Arial" w:hAnsi="Arial"/>
          <w:b/>
          <w:bCs/>
          <w:color w:val="1A1A1A"/>
          <w:sz w:val="21"/>
          <w:szCs w:val="21"/>
        </w:rPr>
        <w:t xml:space="preserve">Infrastruktur des Kunden (Server, Standort, Betreiber):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Wartungszugang (Art des Zugangs, Ansprechpartner des Kunden):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Datum der Überlassung (Lizenzkauf):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Ende des Unterstützungszeitraums – Sicherheitsaktualisierungen bis (Monat/Jahr; sieben Jahre ab Lizenzkauf): </w:t>
      </w:r>
      <w:r>
        <w:rPr>
          <w:rFonts w:ascii="Arial" w:cs="Arial" w:eastAsia="Arial" w:hAnsi="Arial"/>
          <w:color w:val="1A1A1A"/>
          <w:sz w:val="21"/>
          <w:szCs w:val="21"/>
        </w:rPr>
        <w:t xml:space="preserve">____ / ____</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Pflege</w:t>
      </w:r>
      <w:r>
        <w:rPr>
          <w:rFonts w:ascii="Arial" w:cs="Arial" w:eastAsia="Arial" w:hAnsi="Arial"/>
          <w:b w:val="false"/>
          <w:bCs w:val="false"/>
          <w:i w:val="false"/>
          <w:iCs w:val="false"/>
          <w:color w:val="1A1A1A"/>
          <w:sz w:val="21"/>
          <w:szCs w:val="21"/>
        </w:rPr>
        <w:t xml:space="preserve"> ab dem zweiten Jahr nach Überlassung (Support und Reaktionszeiten nach Anlage C Ziffer 12; Regelsatz 18 % des Listenpreises je Zugang und Jahr)</w:t>
      </w:r>
    </w:p>
    <w:p>
      <w:pPr>
        <w:spacing w:after="120"/>
      </w:pPr>
      <w:r>
        <w:rPr>
          <w:rFonts w:ascii="Arial" w:cs="Arial" w:eastAsia="Arial" w:hAnsi="Arial"/>
          <w:b/>
          <w:bCs/>
          <w:color w:val="1A1A1A"/>
          <w:sz w:val="21"/>
          <w:szCs w:val="21"/>
        </w:rPr>
        <w:t xml:space="preserve">Pflegevergütung (netto): </w:t>
      </w:r>
      <w:r>
        <w:rPr>
          <w:rFonts w:ascii="Arial" w:cs="Arial" w:eastAsia="Arial" w:hAnsi="Arial"/>
          <w:color w:val="1A1A1A"/>
          <w:sz w:val="21"/>
          <w:szCs w:val="21"/>
        </w:rPr>
        <w:t xml:space="preserve">____ EUR/Jahr</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Projektanwendung zum Festpreis</w:t>
      </w:r>
      <w:r>
        <w:rPr>
          <w:rFonts w:ascii="Arial" w:cs="Arial" w:eastAsia="Arial" w:hAnsi="Arial"/>
          <w:b w:val="false"/>
          <w:bCs w:val="false"/>
          <w:i w:val="false"/>
          <w:iCs w:val="false"/>
          <w:color w:val="1A1A1A"/>
          <w:sz w:val="21"/>
          <w:szCs w:val="21"/>
        </w:rPr>
        <w:t xml:space="preserve"> (NexAI App; Werkleistung mit Abnahme nach Anlage D; Betrieb und Pflege nach Anlage E Ziffer 8)</w:t>
      </w:r>
    </w:p>
    <w:p>
      <w:pPr>
        <w:spacing w:after="120"/>
      </w:pPr>
      <w:r>
        <w:rPr>
          <w:rFonts w:ascii="Arial" w:cs="Arial" w:eastAsia="Arial" w:hAnsi="Arial"/>
          <w:b/>
          <w:bCs/>
          <w:color w:val="1A1A1A"/>
          <w:sz w:val="21"/>
          <w:szCs w:val="21"/>
        </w:rPr>
        <w:t xml:space="preserve">Paket / Leistungsbeschreibung: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Festpreis (netto): </w:t>
      </w:r>
      <w:r>
        <w:rPr>
          <w:rFonts w:ascii="Arial" w:cs="Arial" w:eastAsia="Arial" w:hAnsi="Arial"/>
          <w:color w:val="1A1A1A"/>
          <w:sz w:val="21"/>
          <w:szCs w:val="21"/>
        </w:rPr>
        <w:t xml:space="preserve">____ EUR</w:t>
      </w:r>
    </w:p>
    <w:p>
      <w:pPr>
        <w:spacing w:after="120"/>
      </w:pPr>
      <w:r>
        <w:rPr>
          <w:rFonts w:ascii="Arial" w:cs="Arial" w:eastAsia="Arial" w:hAnsi="Arial"/>
          <w:b/>
          <w:bCs/>
          <w:color w:val="1A1A1A"/>
          <w:sz w:val="21"/>
          <w:szCs w:val="21"/>
        </w:rPr>
        <w:t xml:space="preserve">Zahlungsplan: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Von der Pflege umfasste Nutzung (aktive Nutzer / Speicher):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Pflegevergütung ab dem zweiten Jahr (netto): </w:t>
      </w:r>
      <w:r>
        <w:rPr>
          <w:rFonts w:ascii="Arial" w:cs="Arial" w:eastAsia="Arial" w:hAnsi="Arial"/>
          <w:color w:val="1A1A1A"/>
          <w:sz w:val="21"/>
          <w:szCs w:val="21"/>
        </w:rPr>
        <w:t xml:space="preserve">____ EUR/Jahr</w:t>
      </w:r>
    </w:p>
    <w:p>
      <w:pPr>
        <w:spacing w:after="120"/>
      </w:pPr>
      <w:r>
        <w:rPr>
          <w:rFonts w:ascii="Arial" w:cs="Arial" w:eastAsia="Arial" w:hAnsi="Arial"/>
          <w:b/>
          <w:bCs/>
          <w:color w:val="1A1A1A"/>
          <w:sz w:val="21"/>
          <w:szCs w:val="21"/>
        </w:rPr>
        <w:t xml:space="preserve">Sicherheitsaktualisierungen bis (Monat/Jahr; sieben Jahre ab Abnahme): </w:t>
      </w:r>
      <w:r>
        <w:rPr>
          <w:rFonts w:ascii="Arial" w:cs="Arial" w:eastAsia="Arial" w:hAnsi="Arial"/>
          <w:color w:val="1A1A1A"/>
          <w:sz w:val="21"/>
          <w:szCs w:val="21"/>
        </w:rPr>
        <w:t xml:space="preserve">____ / ____</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Einsatzzweck und KI-VO-Einstufung je Agent</w:t>
      </w:r>
    </w:p>
    <w:p>
      <w:pPr>
        <w:spacing w:after="120" w:line="276"/>
        <w:jc w:val="both"/>
      </w:pPr>
      <w:r>
        <w:rPr>
          <w:rFonts w:ascii="Arial" w:cs="Arial" w:eastAsia="Arial" w:hAnsi="Arial"/>
          <w:b w:val="false"/>
          <w:bCs w:val="false"/>
          <w:i w:val="false"/>
          <w:iCs w:val="false"/>
          <w:color w:val="1A1A1A"/>
          <w:sz w:val="21"/>
          <w:szCs w:val="21"/>
        </w:rPr>
        <w:t xml:space="preserve">Für jeden beauftragten Agenten und für den NexAI Mailagent ist der verbindliche Einsatzzweck festzulegen. Der Kunde bestätigt, dass </w:t>
      </w:r>
      <w:r>
        <w:rPr>
          <w:rFonts w:ascii="Arial" w:cs="Arial" w:eastAsia="Arial" w:hAnsi="Arial"/>
          <w:b/>
          <w:bCs/>
          <w:i w:val="false"/>
          <w:iCs w:val="false"/>
          <w:color w:val="1A1A1A"/>
          <w:sz w:val="21"/>
          <w:szCs w:val="21"/>
        </w:rPr>
        <w:t xml:space="preserve">kein Hochrisiko-Einsatz nach Anhang III der Verordnung (EU) 2024/1689 (KI-VO)</w:t>
      </w:r>
      <w:r>
        <w:rPr>
          <w:rFonts w:ascii="Arial" w:cs="Arial" w:eastAsia="Arial" w:hAnsi="Arial"/>
          <w:b w:val="false"/>
          <w:bCs w:val="false"/>
          <w:i w:val="false"/>
          <w:iCs w:val="false"/>
          <w:color w:val="1A1A1A"/>
          <w:sz w:val="21"/>
          <w:szCs w:val="21"/>
        </w:rPr>
        <w:t xml:space="preserve"> vorliegt und die Systeme ausschließlich für die angegebenen Zwecke eingesetzt werden. Für die hier bezeichneten Systeme ist NexAI </w:t>
      </w:r>
      <w:r>
        <w:rPr>
          <w:rFonts w:ascii="Arial" w:cs="Arial" w:eastAsia="Arial" w:hAnsi="Arial"/>
          <w:b/>
          <w:bCs/>
          <w:i w:val="false"/>
          <w:iCs w:val="false"/>
          <w:color w:val="1A1A1A"/>
          <w:sz w:val="21"/>
          <w:szCs w:val="21"/>
        </w:rPr>
        <w:t xml:space="preserve">Anbieter</w:t>
      </w:r>
      <w:r>
        <w:rPr>
          <w:rFonts w:ascii="Arial" w:cs="Arial" w:eastAsia="Arial" w:hAnsi="Arial"/>
          <w:b w:val="false"/>
          <w:bCs w:val="false"/>
          <w:i w:val="false"/>
          <w:iCs w:val="false"/>
          <w:color w:val="1A1A1A"/>
          <w:sz w:val="21"/>
          <w:szCs w:val="21"/>
        </w:rPr>
        <w:t xml:space="preserve">, der Kunde </w:t>
      </w:r>
      <w:r>
        <w:rPr>
          <w:rFonts w:ascii="Arial" w:cs="Arial" w:eastAsia="Arial" w:hAnsi="Arial"/>
          <w:b/>
          <w:bCs/>
          <w:i w:val="false"/>
          <w:iCs w:val="false"/>
          <w:color w:val="1A1A1A"/>
          <w:sz w:val="21"/>
          <w:szCs w:val="21"/>
        </w:rPr>
        <w:t xml:space="preserve">Betreiber</w:t>
      </w:r>
      <w:r>
        <w:rPr>
          <w:rFonts w:ascii="Arial" w:cs="Arial" w:eastAsia="Arial" w:hAnsi="Arial"/>
          <w:b w:val="false"/>
          <w:bCs w:val="false"/>
          <w:i w:val="false"/>
          <w:iCs w:val="false"/>
          <w:color w:val="1A1A1A"/>
          <w:sz w:val="21"/>
          <w:szCs w:val="21"/>
        </w:rPr>
        <w:t xml:space="preserve"> im Sinne der KI-VO. Unabhängig von der Rollenfrage setzt NexAI die Pflichten aus Art. 50 Abs. 1 und 2 KI-VO technisch um, für vor dem 2. August 2026 in Verkehr gebrachte Systeme nach Art. 111 Abs. 4 KI-VO bis zum 2. Dezember 2026. Der Kunde sorgt für die KI-Kompetenz seines Personals (Art. 4 KI-VO), wofür NexAI eine Einweisung bereitstellt, und erfüllt Art. 50 Abs. 4 KI-VO bei Stimm- oder Bildnachbildungen.</w:t>
      </w:r>
    </w:p>
    <w:p>
      <w:pPr>
        <w:pStyle w:val="Heading2"/>
        <w:keepNext/>
        <w:spacing w:after="80" w:before="160"/>
      </w:pPr>
      <w:r>
        <w:rPr>
          <w:rFonts w:ascii="Arial" w:cs="Arial" w:eastAsia="Arial" w:hAnsi="Arial"/>
          <w:b/>
          <w:bCs/>
          <w:i w:val="false"/>
          <w:iCs w:val="false"/>
          <w:color w:val="0B0B0F"/>
          <w:sz w:val="21"/>
          <w:szCs w:val="21"/>
        </w:rPr>
        <w:t xml:space="preserve">Agent 1</w:t>
      </w:r>
    </w:p>
    <w:p>
      <w:pPr>
        <w:spacing w:after="120"/>
      </w:pPr>
      <w:r>
        <w:rPr>
          <w:rFonts w:ascii="Arial" w:cs="Arial" w:eastAsia="Arial" w:hAnsi="Arial"/>
          <w:b/>
          <w:bCs/>
          <w:color w:val="1A1A1A"/>
          <w:sz w:val="21"/>
          <w:szCs w:val="21"/>
        </w:rPr>
        <w:t xml:space="preserve">Bezeichnung / Typ des Agenten: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6B7280"/>
          <w:sz w:val="21"/>
          <w:szCs w:val="21"/>
          <w:u w:val="single"/>
        </w:rPr>
        <w:t xml:space="preserve">                                                </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Agent 2</w:t>
      </w:r>
    </w:p>
    <w:p>
      <w:pPr>
        <w:spacing w:after="120"/>
      </w:pPr>
      <w:r>
        <w:rPr>
          <w:rFonts w:ascii="Arial" w:cs="Arial" w:eastAsia="Arial" w:hAnsi="Arial"/>
          <w:b/>
          <w:bCs/>
          <w:color w:val="1A1A1A"/>
          <w:sz w:val="21"/>
          <w:szCs w:val="21"/>
        </w:rPr>
        <w:t xml:space="preserve">Bezeichnung / Typ des Agenten: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6B7280"/>
          <w:sz w:val="21"/>
          <w:szCs w:val="21"/>
          <w:u w:val="single"/>
        </w:rPr>
        <w:t xml:space="preserve">                                                </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Agent 3</w:t>
      </w:r>
    </w:p>
    <w:p>
      <w:pPr>
        <w:spacing w:after="120"/>
      </w:pPr>
      <w:r>
        <w:rPr>
          <w:rFonts w:ascii="Arial" w:cs="Arial" w:eastAsia="Arial" w:hAnsi="Arial"/>
          <w:b/>
          <w:bCs/>
          <w:color w:val="1A1A1A"/>
          <w:sz w:val="21"/>
          <w:szCs w:val="21"/>
        </w:rPr>
        <w:t xml:space="preserve">Bezeichnung / Typ des Agenten: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6B7280"/>
          <w:sz w:val="21"/>
          <w:szCs w:val="21"/>
          <w:u w:val="single"/>
        </w:rPr>
        <w:t xml:space="preserve">                                                </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NexAI Mailagent</w:t>
      </w:r>
    </w:p>
    <w:p>
      <w:pPr>
        <w:spacing w:after="120"/>
      </w:pPr>
      <w:r>
        <w:rPr>
          <w:rFonts w:ascii="Arial" w:cs="Arial" w:eastAsia="Arial" w:hAnsi="Arial"/>
          <w:b/>
          <w:bCs/>
          <w:color w:val="1A1A1A"/>
          <w:sz w:val="21"/>
          <w:szCs w:val="21"/>
        </w:rPr>
        <w:t xml:space="preserve">Verbindlicher Einsatzzweck: </w:t>
      </w:r>
      <w:r>
        <w:rPr>
          <w:rFonts w:ascii="Arial" w:cs="Arial" w:eastAsia="Arial" w:hAnsi="Arial"/>
          <w:color w:val="1A1A1A"/>
          <w:sz w:val="21"/>
          <w:szCs w:val="21"/>
        </w:rPr>
        <w:t xml:space="preserve">Bearbeitung der geschäftlichen E-Mail-Korrespondenz des Kunden (Anlage A Ziffer 5.4 Abs. (11))</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w:t>
      </w:r>
      <w:r>
        <w:rPr>
          <w:rFonts w:ascii="Arial" w:cs="Arial" w:eastAsia="Arial" w:hAnsi="Arial"/>
          <w:b/>
          <w:bCs/>
          <w:i w:val="false"/>
          <w:iCs w:val="false"/>
          <w:color w:val="1A1A1A"/>
          <w:sz w:val="21"/>
          <w:szCs w:val="21"/>
        </w:rPr>
        <w:t xml:space="preserve">KEIN Hochrisiko-Einsatz</w:t>
      </w:r>
      <w:r>
        <w:rPr>
          <w:rFonts w:ascii="Arial" w:cs="Arial" w:eastAsia="Arial" w:hAnsi="Arial"/>
          <w:b w:val="false"/>
          <w:bCs w:val="false"/>
          <w:i w:val="false"/>
          <w:iCs w:val="false"/>
          <w:color w:val="1A1A1A"/>
          <w:sz w:val="21"/>
          <w:szCs w:val="21"/>
        </w:rPr>
        <w:t xml:space="preserve"> nach Anhang III KI-VO; insbesondere keine Beobachtung oder Bewertung der Leistung oder des Verhaltens von Beschäftigten.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Rollenzuordnung KI-VO: </w:t>
      </w:r>
      <w:r>
        <w:rPr>
          <w:rFonts w:ascii="Arial" w:cs="Arial" w:eastAsia="Arial" w:hAnsi="Arial"/>
          <w:b/>
          <w:bCs/>
          <w:i w:val="false"/>
          <w:iCs w:val="false"/>
          <w:color w:val="1A1A1A"/>
          <w:sz w:val="21"/>
          <w:szCs w:val="21"/>
        </w:rPr>
        <w:t xml:space="preserve">NexAI = Anbieter</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Kunde = Betreiber</w:t>
      </w:r>
      <w:r>
        <w:rPr>
          <w:rFonts w:ascii="Arial" w:cs="Arial" w:eastAsia="Arial" w:hAnsi="Arial"/>
          <w:b w:val="false"/>
          <w:bCs w:val="false"/>
          <w:i w:val="false"/>
          <w:iCs w:val="false"/>
          <w:color w:val="1A1A1A"/>
          <w:sz w:val="21"/>
          <w:szCs w:val="21"/>
        </w:rPr>
        <w:t xml:space="preserve">.</w:t>
      </w:r>
    </w:p>
    <w:p>
      <w:pPr>
        <w:spacing w:after="140" w:before="80"/>
      </w:pPr>
      <w:r>
        <w:rPr>
          <w:rFonts w:ascii="Arial" w:cs="Arial" w:eastAsia="Arial" w:hAnsi="Arial"/>
          <w:b w:val="false"/>
          <w:bCs w:val="false"/>
          <w:i/>
          <w:iCs/>
          <w:color w:val="6B7280"/>
          <w:sz w:val="18"/>
          <w:szCs w:val="18"/>
        </w:rPr>
        <w:t xml:space="preserve">Bei mehr als drei Agenten ist eine gleichlautende Fortsetzung als Beiblatt zu diesem Leistungsschein zu verwenden.</w:t>
      </w:r>
    </w:p>
    <w:p>
      <w:pPr>
        <w:spacing w:after="80"/>
      </w:pPr>
      <w:r>
        <w:rPr>
          <w:sz w:val="2"/>
          <w:szCs w:val="2"/>
        </w:rPr>
        <w:t xml:space="preserve"/>
      </w:r>
    </w:p>
    <w:p>
      <w:pPr>
        <w:pageBreakBefore/>
      </w:pPr>
      <w:r>
        <w:t xml:space="preserve"/>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Vergütung</w:t>
      </w:r>
    </w:p>
    <w:p>
      <w:pPr>
        <w:spacing w:after="120" w:line="276"/>
        <w:jc w:val="both"/>
      </w:pPr>
      <w:r>
        <w:rPr>
          <w:rFonts w:ascii="Arial" w:cs="Arial" w:eastAsia="Arial" w:hAnsi="Arial"/>
          <w:b w:val="false"/>
          <w:bCs w:val="false"/>
          <w:i w:val="false"/>
          <w:iCs w:val="false"/>
          <w:color w:val="1A1A1A"/>
          <w:sz w:val="21"/>
          <w:szCs w:val="21"/>
        </w:rPr>
        <w:t xml:space="preserve">Für die Ersteinrichtung fällt eine </w:t>
      </w:r>
      <w:r>
        <w:rPr>
          <w:rFonts w:ascii="Arial" w:cs="Arial" w:eastAsia="Arial" w:hAnsi="Arial"/>
          <w:b/>
          <w:bCs/>
          <w:i w:val="false"/>
          <w:iCs w:val="false"/>
          <w:color w:val="1A1A1A"/>
          <w:sz w:val="21"/>
          <w:szCs w:val="21"/>
        </w:rPr>
        <w:t xml:space="preserve">einmalige Einrichtungsgebühr</w:t>
      </w:r>
      <w:r>
        <w:rPr>
          <w:rFonts w:ascii="Arial" w:cs="Arial" w:eastAsia="Arial" w:hAnsi="Arial"/>
          <w:b w:val="false"/>
          <w:bCs w:val="false"/>
          <w:i w:val="false"/>
          <w:iCs w:val="false"/>
          <w:color w:val="1A1A1A"/>
          <w:sz w:val="21"/>
          <w:szCs w:val="21"/>
        </w:rPr>
        <w:t xml:space="preserve"> nur an, wenn sie in der nachstehenden Tabelle als einmalige Position eingetragen ist. Für Betriebsleistungen fällt der nachstehend vereinbarte monatliche </w:t>
      </w:r>
      <w:r>
        <w:rPr>
          <w:rFonts w:ascii="Arial" w:cs="Arial" w:eastAsia="Arial" w:hAnsi="Arial"/>
          <w:b/>
          <w:bCs/>
          <w:i w:val="false"/>
          <w:iCs w:val="false"/>
          <w:color w:val="1A1A1A"/>
          <w:sz w:val="21"/>
          <w:szCs w:val="21"/>
        </w:rPr>
        <w:t xml:space="preserve">oder</w:t>
      </w:r>
      <w:r>
        <w:rPr>
          <w:rFonts w:ascii="Arial" w:cs="Arial" w:eastAsia="Arial" w:hAnsi="Arial"/>
          <w:b w:val="false"/>
          <w:bCs w:val="false"/>
          <w:i w:val="false"/>
          <w:iCs w:val="false"/>
          <w:color w:val="1A1A1A"/>
          <w:sz w:val="21"/>
          <w:szCs w:val="21"/>
        </w:rPr>
        <w:t xml:space="preserve"> jährliche Beitrag an. Projektleistungen (insbesondere die Einrichtung von Anwendungen) werden, soweit beauftragt, gesondert und einmalig vergütet. Für Kauflizenzen und Projektanwendungen gelten Ziffer 3.4 und Anlage E. Alle Beträge verstehen sich </w:t>
      </w:r>
      <w:r>
        <w:rPr>
          <w:rFonts w:ascii="Arial" w:cs="Arial" w:eastAsia="Arial" w:hAnsi="Arial"/>
          <w:b/>
          <w:bCs/>
          <w:i w:val="false"/>
          <w:iCs w:val="false"/>
          <w:color w:val="1A1A1A"/>
          <w:sz w:val="21"/>
          <w:szCs w:val="21"/>
        </w:rPr>
        <w:t xml:space="preserve">netto zzgl. der gesetzlichen Umsatzsteuer</w:t>
      </w:r>
      <w:r>
        <w:rPr>
          <w:rFonts w:ascii="Arial" w:cs="Arial" w:eastAsia="Arial" w:hAnsi="Arial"/>
          <w:b w:val="false"/>
          <w:bCs w:val="false"/>
          <w:i w:val="false"/>
          <w:iCs w:val="false"/>
          <w:color w:val="1A1A1A"/>
          <w:sz w:val="21"/>
          <w:szCs w:val="21"/>
        </w:rPr>
        <w:t xml:space="preserve">.</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2351"/>
        <w:gridCol w:w="2351"/>
        <w:gridCol w:w="2351"/>
        <w:gridCol w:w="2351"/>
      </w:tblGrid>
      <w:tr>
        <w:trPr>
          <w:tblHeader/>
        </w:trPr>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Position / Leistung</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Modell (monatlich / jährlich / einmalig)</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Listenpreis netto (EUR)</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Vereinbart netto (EUR)</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w:t>
            </w:r>
          </w:p>
        </w:tc>
      </w:tr>
      <w:tr>
        <w:tc>
          <w:tcPr>
            <w:tcW w:type="dxa" w:w="2351"/>
            <w:tcMar>
              <w:top w:type="dxa" w:w="60"/>
              <w:left w:type="dxa" w:w="90"/>
              <w:bottom w:type="dxa" w:w="60"/>
              <w:right w:type="dxa" w:w="90"/>
            </w:tcMar>
          </w:tcPr>
          <w:p>
            <w:pPr>
              <w:spacing w:after="0" w:line="264"/>
            </w:pPr>
            <w:r>
              <w:rPr>
                <w:rFonts w:ascii="Arial" w:cs="Arial" w:eastAsia="Arial" w:hAnsi="Arial"/>
                <w:b/>
                <w:bCs/>
                <w:i w:val="false"/>
                <w:iCs w:val="false"/>
                <w:color w:val="1A1A1A"/>
                <w:sz w:val="20"/>
                <w:szCs w:val="20"/>
              </w:rPr>
              <w:t xml:space="preserve">Summe (netto)</w:t>
            </w:r>
          </w:p>
        </w:tc>
        <w:tc>
          <w:tcPr>
            <w:tcW w:type="dxa" w:w="2351"/>
            <w:tcMar>
              <w:top w:type="dxa" w:w="60"/>
              <w:left w:type="dxa" w:w="90"/>
              <w:bottom w:type="dxa" w:w="60"/>
              <w:right w:type="dxa" w:w="90"/>
            </w:tcMar>
          </w:tcPr>
          <w:p>
            <w:pPr>
              <w:spacing w:after="0" w:line="264"/>
            </w:pPr>
            <w:r>
              <w:rPr>
                <w:rFonts w:ascii="Arial" w:cs="Arial" w:eastAsia="Arial" w:hAnsi="Arial"/>
                <w:sz w:val="20"/>
                <w:szCs w:val="20"/>
              </w:rPr>
              <w:t xml:space="preserve"/>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 EUR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____ EUR</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Listenpreis ist der Preis der NexAI-Preisliste am Tag der Unterzeichnung. Weicht der vereinbarte Betrag vom Listenpreis ab und hat für NexAI kein Gesellschafter unterschrieben, wird der Vertrag erst wirksam, wenn ein Gesellschafter von NexAI ihn in Textform genehmigt; verweigert NexAI die Genehmigung, kommt der Vertrag nicht zustande (Ziffer 16).</w:t>
      </w:r>
    </w:p>
    <w:p>
      <w:pPr>
        <w:spacing w:after="120"/>
      </w:pPr>
      <w:r>
        <w:rPr>
          <w:rFonts w:ascii="Arial" w:cs="Arial" w:eastAsia="Arial" w:hAnsi="Arial"/>
          <w:b/>
          <w:bCs/>
          <w:color w:val="1A1A1A"/>
          <w:sz w:val="21"/>
          <w:szCs w:val="21"/>
        </w:rPr>
        <w:t xml:space="preserve">Abrechnungsturnus / Fälligkeit (z. B. monatlich im Voraus, jährlich im Voraus):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Umsatzsteuer: Regelbesteuerung; alle Preise netto zzgl. gesetzlicher USt. USt-IdNr. von NexAI: DE463741277.</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Freikontingent und Mehrverbrauch (Overage)</w:t>
      </w:r>
    </w:p>
    <w:p>
      <w:pPr>
        <w:spacing w:after="120" w:line="276"/>
        <w:jc w:val="both"/>
      </w:pPr>
      <w:r>
        <w:rPr>
          <w:rFonts w:ascii="Arial" w:cs="Arial" w:eastAsia="Arial" w:hAnsi="Arial"/>
          <w:b w:val="false"/>
          <w:bCs w:val="false"/>
          <w:i w:val="false"/>
          <w:iCs w:val="false"/>
          <w:color w:val="1A1A1A"/>
          <w:sz w:val="21"/>
          <w:szCs w:val="21"/>
        </w:rPr>
        <w:t xml:space="preserve">Im Beitrag ist je Agent ein </w:t>
      </w:r>
      <w:r>
        <w:rPr>
          <w:rFonts w:ascii="Arial" w:cs="Arial" w:eastAsia="Arial" w:hAnsi="Arial"/>
          <w:b/>
          <w:bCs/>
          <w:i w:val="false"/>
          <w:iCs w:val="false"/>
          <w:color w:val="1A1A1A"/>
          <w:sz w:val="21"/>
          <w:szCs w:val="21"/>
        </w:rPr>
        <w:t xml:space="preserve">Freikontingent</w:t>
      </w:r>
      <w:r>
        <w:rPr>
          <w:rFonts w:ascii="Arial" w:cs="Arial" w:eastAsia="Arial" w:hAnsi="Arial"/>
          <w:b w:val="false"/>
          <w:bCs w:val="false"/>
          <w:i w:val="false"/>
          <w:iCs w:val="false"/>
          <w:color w:val="1A1A1A"/>
          <w:sz w:val="21"/>
          <w:szCs w:val="21"/>
        </w:rPr>
        <w:t xml:space="preserve"> enthalten. Darüber hinausgehender </w:t>
      </w:r>
      <w:r>
        <w:rPr>
          <w:rFonts w:ascii="Arial" w:cs="Arial" w:eastAsia="Arial" w:hAnsi="Arial"/>
          <w:b/>
          <w:bCs/>
          <w:i w:val="false"/>
          <w:iCs w:val="false"/>
          <w:color w:val="1A1A1A"/>
          <w:sz w:val="21"/>
          <w:szCs w:val="21"/>
        </w:rPr>
        <w:t xml:space="preserve">Mehrverbrauch (Overage)</w:t>
      </w:r>
      <w:r>
        <w:rPr>
          <w:rFonts w:ascii="Arial" w:cs="Arial" w:eastAsia="Arial" w:hAnsi="Arial"/>
          <w:b w:val="false"/>
          <w:bCs w:val="false"/>
          <w:i w:val="false"/>
          <w:iCs w:val="false"/>
          <w:color w:val="1A1A1A"/>
          <w:sz w:val="21"/>
          <w:szCs w:val="21"/>
        </w:rPr>
        <w:t xml:space="preserve"> wird zum nachstehenden Netto-Einheitspreis abgerechnet und mit dem Beitrag des Folgemonats in Rechnung gestellt. Auf Verlangen des Kunden wird ein Einzelverbindungsnachweis bereitgestellt.</w:t>
      </w:r>
    </w:p>
    <w:p>
      <w:pPr>
        <w:spacing w:after="120"/>
      </w:pPr>
      <w:r>
        <w:rPr>
          <w:rFonts w:ascii="Arial" w:cs="Arial" w:eastAsia="Arial" w:hAnsi="Arial"/>
          <w:b/>
          <w:bCs/>
          <w:color w:val="1A1A1A"/>
          <w:sz w:val="21"/>
          <w:szCs w:val="21"/>
        </w:rPr>
        <w:t xml:space="preserve">Freikontingent: </w:t>
      </w:r>
      <w:r>
        <w:rPr>
          <w:rFonts w:ascii="Arial" w:cs="Arial" w:eastAsia="Arial" w:hAnsi="Arial"/>
          <w:color w:val="1A1A1A"/>
          <w:sz w:val="21"/>
          <w:szCs w:val="21"/>
        </w:rPr>
        <w:t xml:space="preserve">____ Min./Monat</w:t>
      </w:r>
    </w:p>
    <w:p>
      <w:pPr>
        <w:spacing w:after="120"/>
      </w:pPr>
      <w:r>
        <w:rPr>
          <w:rFonts w:ascii="Arial" w:cs="Arial" w:eastAsia="Arial" w:hAnsi="Arial"/>
          <w:b/>
          <w:bCs/>
          <w:color w:val="1A1A1A"/>
          <w:sz w:val="21"/>
          <w:szCs w:val="21"/>
        </w:rPr>
        <w:t xml:space="preserve">Mehrverbrauch (Overage): </w:t>
      </w:r>
      <w:r>
        <w:rPr>
          <w:rFonts w:ascii="Arial" w:cs="Arial" w:eastAsia="Arial" w:hAnsi="Arial"/>
          <w:color w:val="1A1A1A"/>
          <w:sz w:val="21"/>
          <w:szCs w:val="21"/>
        </w:rPr>
        <w:t xml:space="preserve">____ EUR/Min. netto</w:t>
      </w:r>
    </w:p>
    <w:p>
      <w:pPr>
        <w:spacing w:after="120"/>
      </w:pPr>
      <w:r>
        <w:rPr>
          <w:rFonts w:ascii="Arial" w:cs="Arial" w:eastAsia="Arial" w:hAnsi="Arial"/>
          <w:b/>
          <w:bCs/>
          <w:color w:val="1A1A1A"/>
          <w:sz w:val="21"/>
          <w:szCs w:val="21"/>
        </w:rPr>
        <w:t xml:space="preserve">Weiteres Kontingent / Einheit (optional, z. B. Nachrichten/Kontakte):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Schwelle für die Zwischenabrechnung des Mehrverbrauchs (§ 7 Abs. (5) des Rahmenvertrags): </w:t>
      </w:r>
      <w:r>
        <w:rPr>
          <w:rFonts w:ascii="Arial" w:cs="Arial" w:eastAsia="Arial" w:hAnsi="Arial"/>
          <w:color w:val="1A1A1A"/>
          <w:sz w:val="21"/>
          <w:szCs w:val="21"/>
        </w:rPr>
        <w:t xml:space="preserve">____ EUR</w:t>
      </w:r>
    </w:p>
    <w:p>
      <w:pPr>
        <w:spacing w:after="120" w:line="276"/>
        <w:jc w:val="both"/>
      </w:pPr>
      <w:r>
        <w:rPr>
          <w:rFonts w:ascii="Arial" w:cs="Arial" w:eastAsia="Arial" w:hAnsi="Arial"/>
          <w:b/>
          <w:bCs/>
          <w:i w:val="false"/>
          <w:iCs w:val="false"/>
          <w:color w:val="1A1A1A"/>
          <w:sz w:val="21"/>
          <w:szCs w:val="21"/>
        </w:rPr>
        <w:t xml:space="preserve">NexAI Mailagent:</w:t>
      </w:r>
      <w:r>
        <w:rPr>
          <w:rFonts w:ascii="Arial" w:cs="Arial" w:eastAsia="Arial" w:hAnsi="Arial"/>
          <w:b w:val="false"/>
          <w:bCs w:val="false"/>
          <w:i w:val="false"/>
          <w:iCs w:val="false"/>
          <w:color w:val="1A1A1A"/>
          <w:sz w:val="21"/>
          <w:szCs w:val="21"/>
        </w:rPr>
        <w:t xml:space="preserve"> Im monatlichen Beitrag ist Modellverbrauch im Gegenwert von 20,00 EUR netto enthalten. Verbrauch ist das von NexAI für die Instanz des Kunden an den Modellanbieter geschuldete Entgelt nach dessen Preisliste, umgerechnet zum Referenzkurs der Europäischen Zentralbank am Monatsende und in der Monatsauswertung ausgewiesen; Mehrverbrauch wird mit einem Aufschlag von 20 % berechnet. Bei Erreichen von achtzig Prozent des Kostendeckels (Ziffer 3.3) warnt die Anwendung, bei Erreichen des Deckels stellt sie Einstufung und Entwürfe ein, bis der Kunde NexAI in Textform anweist, den Deckel anzuheben [setzt voraus: Kostendeckel und Verbrauchsausweis in EUR; Abrechnung des Mehrverbrauchs aus der Anwendung].</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Technisches EUR-Spend-Cap je Agent</w:t>
      </w:r>
    </w:p>
    <w:p>
      <w:pPr>
        <w:spacing w:after="120" w:line="276"/>
        <w:jc w:val="both"/>
      </w:pPr>
      <w:r>
        <w:rPr>
          <w:rFonts w:ascii="Arial" w:cs="Arial" w:eastAsia="Arial" w:hAnsi="Arial"/>
          <w:b w:val="false"/>
          <w:bCs w:val="false"/>
          <w:i w:val="false"/>
          <w:iCs w:val="false"/>
          <w:color w:val="1A1A1A"/>
          <w:sz w:val="21"/>
          <w:szCs w:val="21"/>
        </w:rPr>
        <w:t xml:space="preserve">Zur Kostenbegrenzung wird je Agent ein technisches Ausgabenlimit (EUR-Spend-Cap) hinterlegt. Ist kein Spend-Cap eingetragen, gilt als Spend-Cap das [Doppelte] des monatlichen Beitrags des betreffenden Agenten. Bei Erreichen des Limits kann der Betrieb des betreffenden Agenten technisch gedrosselt oder ausgesetzt werden. Eine Anhebung des Limits bedarf einer dokumentierten Weisung des Kunden.</w:t>
      </w:r>
    </w:p>
    <w:p>
      <w:pPr>
        <w:spacing w:after="120"/>
      </w:pPr>
      <w:r>
        <w:rPr>
          <w:rFonts w:ascii="Arial" w:cs="Arial" w:eastAsia="Arial" w:hAnsi="Arial"/>
          <w:b/>
          <w:bCs/>
          <w:color w:val="1A1A1A"/>
          <w:sz w:val="21"/>
          <w:szCs w:val="21"/>
        </w:rPr>
        <w:t xml:space="preserve">EUR-Spend-Cap Agent 1: </w:t>
      </w:r>
      <w:r>
        <w:rPr>
          <w:rFonts w:ascii="Arial" w:cs="Arial" w:eastAsia="Arial" w:hAnsi="Arial"/>
          <w:color w:val="1A1A1A"/>
          <w:sz w:val="21"/>
          <w:szCs w:val="21"/>
        </w:rPr>
        <w:t xml:space="preserve">____ EUR/Monat</w:t>
      </w:r>
    </w:p>
    <w:p>
      <w:pPr>
        <w:spacing w:after="120"/>
      </w:pPr>
      <w:r>
        <w:rPr>
          <w:rFonts w:ascii="Arial" w:cs="Arial" w:eastAsia="Arial" w:hAnsi="Arial"/>
          <w:b/>
          <w:bCs/>
          <w:color w:val="1A1A1A"/>
          <w:sz w:val="21"/>
          <w:szCs w:val="21"/>
        </w:rPr>
        <w:t xml:space="preserve">EUR-Spend-Cap Agent 2: </w:t>
      </w:r>
      <w:r>
        <w:rPr>
          <w:rFonts w:ascii="Arial" w:cs="Arial" w:eastAsia="Arial" w:hAnsi="Arial"/>
          <w:color w:val="1A1A1A"/>
          <w:sz w:val="21"/>
          <w:szCs w:val="21"/>
        </w:rPr>
        <w:t xml:space="preserve">____ EUR/Monat</w:t>
      </w:r>
    </w:p>
    <w:p>
      <w:pPr>
        <w:spacing w:after="120"/>
      </w:pPr>
      <w:r>
        <w:rPr>
          <w:rFonts w:ascii="Arial" w:cs="Arial" w:eastAsia="Arial" w:hAnsi="Arial"/>
          <w:b/>
          <w:bCs/>
          <w:color w:val="1A1A1A"/>
          <w:sz w:val="21"/>
          <w:szCs w:val="21"/>
        </w:rPr>
        <w:t xml:space="preserve">EUR-Spend-Cap Agent 3: </w:t>
      </w:r>
      <w:r>
        <w:rPr>
          <w:rFonts w:ascii="Arial" w:cs="Arial" w:eastAsia="Arial" w:hAnsi="Arial"/>
          <w:color w:val="1A1A1A"/>
          <w:sz w:val="21"/>
          <w:szCs w:val="21"/>
        </w:rPr>
        <w:t xml:space="preserve">____ EUR/Monat</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Zahlungsweise</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SEPA-Firmenlastschrift (B2B)</w:t>
      </w:r>
      <w:r>
        <w:rPr>
          <w:rFonts w:ascii="Arial" w:cs="Arial" w:eastAsia="Arial" w:hAnsi="Arial"/>
          <w:b w:val="false"/>
          <w:bCs w:val="false"/>
          <w:i w:val="false"/>
          <w:iCs w:val="false"/>
          <w:color w:val="1A1A1A"/>
          <w:sz w:val="21"/>
          <w:szCs w:val="21"/>
        </w:rPr>
        <w:t xml:space="preserve"> — ein gesondertes SEPA-Firmenlastschriftmandat wird erteilt.</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Überweisung</w:t>
      </w:r>
      <w:r>
        <w:rPr>
          <w:rFonts w:ascii="Arial" w:cs="Arial" w:eastAsia="Arial" w:hAnsi="Arial"/>
          <w:b w:val="false"/>
          <w:bCs w:val="false"/>
          <w:i w:val="false"/>
          <w:iCs w:val="false"/>
          <w:color w:val="1A1A1A"/>
          <w:sz w:val="21"/>
          <w:szCs w:val="21"/>
        </w:rPr>
        <w:t xml:space="preserve"> — Zahlung nach Rechnungserhalt innerhalb der im Rahmenvertrag / den AGB (B2B) genannten Frist.</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Laufzeitmodell</w:t>
      </w:r>
    </w:p>
    <w:p>
      <w:pPr>
        <w:spacing w:after="120" w:line="276"/>
        <w:jc w:val="both"/>
      </w:pPr>
      <w:r>
        <w:rPr>
          <w:rFonts w:ascii="Arial" w:cs="Arial" w:eastAsia="Arial" w:hAnsi="Arial"/>
          <w:b w:val="false"/>
          <w:bCs w:val="false"/>
          <w:i w:val="false"/>
          <w:iCs w:val="false"/>
          <w:color w:val="1A1A1A"/>
          <w:sz w:val="21"/>
          <w:szCs w:val="21"/>
        </w:rPr>
        <w:t xml:space="preserve">Es ist genau eines der folgenden Modelle zu wählen.</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Monatsmodell</w:t>
      </w:r>
      <w:r>
        <w:rPr>
          <w:rFonts w:ascii="Arial" w:cs="Arial" w:eastAsia="Arial" w:hAnsi="Arial"/>
          <w:b w:val="false"/>
          <w:bCs w:val="false"/>
          <w:i w:val="false"/>
          <w:iCs w:val="false"/>
          <w:color w:val="1A1A1A"/>
          <w:sz w:val="21"/>
          <w:szCs w:val="21"/>
        </w:rPr>
        <w:t xml:space="preserve"> — monatlich kündbar mit einer Frist von einem Monat zum Monatsende.</w:t>
      </w:r>
    </w:p>
    <w:p>
      <w:pPr>
        <w:spacing w:after="60"/>
        <w:ind w:left="200"/>
      </w:pPr>
      <w:r>
        <w:rPr>
          <w:rFonts w:ascii="Arial" w:cs="Arial" w:eastAsia="Arial" w:hAnsi="Arial"/>
          <w:sz w:val="24"/>
          <w:szCs w:val="24"/>
        </w:rPr>
        <w:t xml:space="preserve">☐  </w:t>
      </w:r>
      <w:r>
        <w:rPr>
          <w:rFonts w:ascii="Arial" w:cs="Arial" w:eastAsia="Arial" w:hAnsi="Arial"/>
          <w:b/>
          <w:bCs/>
          <w:i w:val="false"/>
          <w:iCs w:val="false"/>
          <w:color w:val="1A1A1A"/>
          <w:sz w:val="21"/>
          <w:szCs w:val="21"/>
        </w:rPr>
        <w:t xml:space="preserve">Jahresmodell</w:t>
      </w:r>
      <w:r>
        <w:rPr>
          <w:rFonts w:ascii="Arial" w:cs="Arial" w:eastAsia="Arial" w:hAnsi="Arial"/>
          <w:b w:val="false"/>
          <w:bCs w:val="false"/>
          <w:i w:val="false"/>
          <w:iCs w:val="false"/>
          <w:color w:val="1A1A1A"/>
          <w:sz w:val="21"/>
          <w:szCs w:val="21"/>
        </w:rPr>
        <w:t xml:space="preserve"> — Mindestlaufzeit 12 Monate; bei ordentlicher Beendigung keine anteilige Rückerstattung des gewährten Preisvorteils (§ 8 Abs. (2) des Rahmenvertrags); Verlängerung um jeweils 12 Monate, Kündigung mit einer Frist von einem Monat zum Laufzeitende.</w:t>
      </w:r>
    </w:p>
    <w:p>
      <w:pPr>
        <w:spacing w:after="140" w:before="80"/>
      </w:pPr>
      <w:r>
        <w:rPr>
          <w:rFonts w:ascii="Arial" w:cs="Arial" w:eastAsia="Arial" w:hAnsi="Arial"/>
          <w:b w:val="false"/>
          <w:bCs w:val="false"/>
          <w:i/>
          <w:iCs/>
          <w:color w:val="6B7280"/>
          <w:sz w:val="18"/>
          <w:szCs w:val="18"/>
        </w:rPr>
        <w:t xml:space="preserve">Das Recht zur außerordentlichen Kündigung aus wichtigem Grund bleibt für beide Parteien unberührt.</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Befugnisse der Agenten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bestätigt: Die Agenten geben </w:t>
      </w:r>
      <w:r>
        <w:rPr>
          <w:rFonts w:ascii="Arial" w:cs="Arial" w:eastAsia="Arial" w:hAnsi="Arial"/>
          <w:b/>
          <w:bCs/>
          <w:i w:val="false"/>
          <w:iCs w:val="false"/>
          <w:color w:val="1A1A1A"/>
          <w:sz w:val="21"/>
          <w:szCs w:val="21"/>
        </w:rPr>
        <w:t xml:space="preserve">KEINE rechtsverbindlichen Zusagen</w:t>
      </w:r>
      <w:r>
        <w:rPr>
          <w:rFonts w:ascii="Arial" w:cs="Arial" w:eastAsia="Arial" w:hAnsi="Arial"/>
          <w:b w:val="false"/>
          <w:bCs w:val="false"/>
          <w:i w:val="false"/>
          <w:iCs w:val="false"/>
          <w:color w:val="1A1A1A"/>
          <w:sz w:val="21"/>
          <w:szCs w:val="21"/>
        </w:rPr>
        <w:t xml:space="preserve"> ab (keine Preis- oder Konditionszusagen, Bestellungen oder Vertragsschlüsse). Sie sind auf </w:t>
      </w:r>
      <w:r>
        <w:rPr>
          <w:rFonts w:ascii="Arial" w:cs="Arial" w:eastAsia="Arial" w:hAnsi="Arial"/>
          <w:b/>
          <w:bCs/>
          <w:i w:val="false"/>
          <w:iCs w:val="false"/>
          <w:color w:val="1A1A1A"/>
          <w:sz w:val="21"/>
          <w:szCs w:val="21"/>
        </w:rPr>
        <w:t xml:space="preserve">Auskunft und Terminvereinbarung</w:t>
      </w:r>
      <w:r>
        <w:rPr>
          <w:rFonts w:ascii="Arial" w:cs="Arial" w:eastAsia="Arial" w:hAnsi="Arial"/>
          <w:b w:val="false"/>
          <w:bCs w:val="false"/>
          <w:i w:val="false"/>
          <w:iCs w:val="false"/>
          <w:color w:val="1A1A1A"/>
          <w:sz w:val="21"/>
          <w:szCs w:val="21"/>
        </w:rPr>
        <w:t xml:space="preserve"> innerhalb der hinterlegten Verfügbarkeiten beschränkt (</w:t>
      </w:r>
      <w:r>
        <w:rPr>
          <w:rFonts w:ascii="Arial" w:cs="Arial" w:eastAsia="Arial" w:hAnsi="Arial"/>
          <w:b/>
          <w:bCs/>
          <w:i w:val="false"/>
          <w:iCs w:val="false"/>
          <w:color w:val="1A1A1A"/>
          <w:sz w:val="21"/>
          <w:szCs w:val="21"/>
        </w:rPr>
        <w:t xml:space="preserve">keine Abschlussvollmacht</w:t>
      </w:r>
      <w:r>
        <w:rPr>
          <w:rFonts w:ascii="Arial" w:cs="Arial" w:eastAsia="Arial" w:hAnsi="Arial"/>
          <w:b w:val="false"/>
          <w:bCs w:val="false"/>
          <w:i w:val="false"/>
          <w:iCs w:val="false"/>
          <w:color w:val="1A1A1A"/>
          <w:sz w:val="21"/>
          <w:szCs w:val="21"/>
        </w:rPr>
        <w:t xml:space="preserve">, § 6 des Rahmenvertrags).</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11.  </w:t>
      </w:r>
      <w:r>
        <w:rPr>
          <w:rFonts w:ascii="Arial" w:cs="Arial" w:eastAsia="Arial" w:hAnsi="Arial"/>
          <w:b/>
          <w:bCs/>
          <w:i w:val="false"/>
          <w:iCs w:val="false"/>
          <w:color w:val="0B0B0F"/>
          <w:sz w:val="24"/>
          <w:szCs w:val="24"/>
        </w:rPr>
        <w:t xml:space="preserve">KI-Transparenz und Aufzeichnung</w:t>
      </w:r>
    </w:p>
    <w:p>
      <w:pPr>
        <w:spacing w:after="120" w:line="276"/>
        <w:jc w:val="both"/>
      </w:pP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KI-Kennzeichnung/Transparenzpflicht nach Art. 50 KI-VO</w:t>
      </w:r>
      <w:r>
        <w:rPr>
          <w:rFonts w:ascii="Arial" w:cs="Arial" w:eastAsia="Arial" w:hAnsi="Arial"/>
          <w:b w:val="false"/>
          <w:bCs w:val="false"/>
          <w:i w:val="false"/>
          <w:iCs w:val="false"/>
          <w:color w:val="1A1A1A"/>
          <w:sz w:val="21"/>
          <w:szCs w:val="21"/>
        </w:rPr>
        <w:t xml:space="preserve"> ist verbindlicher, nicht abschaltbarer Leistungsbestandteil: Endnutzer werden stets darauf hingewiesen, dass sie mit einem KI-System interagieren. Für den NexAI Mailagent gilt Anlage A Ziffer 5.4 Abs. (6).</w:t>
      </w:r>
    </w:p>
    <w:p>
      <w:pPr>
        <w:spacing w:after="120" w:line="276"/>
        <w:jc w:val="both"/>
      </w:pP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Tonaufzeichnung</w:t>
      </w:r>
      <w:r>
        <w:rPr>
          <w:rFonts w:ascii="Arial" w:cs="Arial" w:eastAsia="Arial" w:hAnsi="Arial"/>
          <w:b w:val="false"/>
          <w:bCs w:val="false"/>
          <w:i w:val="false"/>
          <w:iCs w:val="false"/>
          <w:color w:val="1A1A1A"/>
          <w:sz w:val="21"/>
          <w:szCs w:val="21"/>
        </w:rPr>
        <w:t xml:space="preserve"> von Gesprächen ist </w:t>
      </w:r>
      <w:r>
        <w:rPr>
          <w:rFonts w:ascii="Arial" w:cs="Arial" w:eastAsia="Arial" w:hAnsi="Arial"/>
          <w:b/>
          <w:bCs/>
          <w:i w:val="false"/>
          <w:iCs w:val="false"/>
          <w:color w:val="1A1A1A"/>
          <w:sz w:val="21"/>
          <w:szCs w:val="21"/>
        </w:rPr>
        <w:t xml:space="preserve">standardmäßig deaktiviert</w:t>
      </w:r>
      <w:r>
        <w:rPr>
          <w:rFonts w:ascii="Arial" w:cs="Arial" w:eastAsia="Arial" w:hAnsi="Arial"/>
          <w:b w:val="false"/>
          <w:bCs w:val="false"/>
          <w:i w:val="false"/>
          <w:iCs w:val="false"/>
          <w:color w:val="1A1A1A"/>
          <w:sz w:val="21"/>
          <w:szCs w:val="21"/>
        </w:rPr>
        <w:t xml:space="preserve">; Wortprotokolle speichert NexAI nicht dauerhaft (§ 5 des Rahmenvertrags). Beides wird nur auf dokumentierte Weisung des Kunden aktiviert; dann erfolgt zusätzlich zur KI-Ansage ein Aufzeichnungshinweis. Der Kunde ist für das Vorliegen einer tragfähigen Rechtsgrundlage verantwortlich.</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Tonaufzeichnung und dauerhafte Speicherung von Wortprotokollen </w:t>
      </w:r>
      <w:r>
        <w:rPr>
          <w:rFonts w:ascii="Arial" w:cs="Arial" w:eastAsia="Arial" w:hAnsi="Arial"/>
          <w:b/>
          <w:bCs/>
          <w:i w:val="false"/>
          <w:iCs w:val="false"/>
          <w:color w:val="1A1A1A"/>
          <w:sz w:val="21"/>
          <w:szCs w:val="21"/>
        </w:rPr>
        <w:t xml:space="preserve">deaktiviert (Standard)</w:t>
      </w:r>
      <w:r>
        <w:rPr>
          <w:rFonts w:ascii="Arial" w:cs="Arial" w:eastAsia="Arial" w:hAnsi="Arial"/>
          <w:b w:val="false"/>
          <w:bCs w:val="false"/>
          <w:i w:val="false"/>
          <w:iCs w:val="false"/>
          <w:color w:val="1A1A1A"/>
          <w:sz w:val="21"/>
          <w:szCs w:val="21"/>
        </w:rPr>
        <w:t xml:space="preserve">.</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Tonaufzeichnung bzw. dauerhafte Speicherung von Wortprotokollen </w:t>
      </w:r>
      <w:r>
        <w:rPr>
          <w:rFonts w:ascii="Arial" w:cs="Arial" w:eastAsia="Arial" w:hAnsi="Arial"/>
          <w:b/>
          <w:bCs/>
          <w:i w:val="false"/>
          <w:iCs w:val="false"/>
          <w:color w:val="1A1A1A"/>
          <w:sz w:val="21"/>
          <w:szCs w:val="21"/>
        </w:rPr>
        <w:t xml:space="preserve">auf Weisung aktiviert</w:t>
      </w:r>
      <w:r>
        <w:rPr>
          <w:rFonts w:ascii="Arial" w:cs="Arial" w:eastAsia="Arial" w:hAnsi="Arial"/>
          <w:b w:val="false"/>
          <w:bCs w:val="false"/>
          <w:i w:val="false"/>
          <w:iCs w:val="false"/>
          <w:color w:val="1A1A1A"/>
          <w:sz w:val="21"/>
          <w:szCs w:val="21"/>
        </w:rPr>
        <w:t xml:space="preserve"> (Pflicht-Ansage mit Aufzeichnungshinweis).</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12.  </w:t>
      </w:r>
      <w:r>
        <w:rPr>
          <w:rFonts w:ascii="Arial" w:cs="Arial" w:eastAsia="Arial" w:hAnsi="Arial"/>
          <w:b/>
          <w:bCs/>
          <w:i w:val="false"/>
          <w:iCs w:val="false"/>
          <w:color w:val="0B0B0F"/>
          <w:sz w:val="24"/>
          <w:szCs w:val="24"/>
        </w:rPr>
        <w:t xml:space="preserve">Rufnummern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Rufnummer(n) </w:t>
      </w:r>
      <w:r>
        <w:rPr>
          <w:rFonts w:ascii="Arial" w:cs="Arial" w:eastAsia="Arial" w:hAnsi="Arial"/>
          <w:b/>
          <w:bCs/>
          <w:i w:val="false"/>
          <w:iCs w:val="false"/>
          <w:color w:val="1A1A1A"/>
          <w:sz w:val="21"/>
          <w:szCs w:val="21"/>
        </w:rPr>
        <w:t xml:space="preserve">vom Kunden mitgebracht</w:t>
      </w:r>
      <w:r>
        <w:rPr>
          <w:rFonts w:ascii="Arial" w:cs="Arial" w:eastAsia="Arial" w:hAnsi="Arial"/>
          <w:b w:val="false"/>
          <w:bCs w:val="false"/>
          <w:i w:val="false"/>
          <w:iCs w:val="false"/>
          <w:color w:val="1A1A1A"/>
          <w:sz w:val="21"/>
          <w:szCs w:val="21"/>
        </w:rPr>
        <w:t xml:space="preserve"> (Kundeneigentum).</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Rufnummer(n) </w:t>
      </w:r>
      <w:r>
        <w:rPr>
          <w:rFonts w:ascii="Arial" w:cs="Arial" w:eastAsia="Arial" w:hAnsi="Arial"/>
          <w:b/>
          <w:bCs/>
          <w:i w:val="false"/>
          <w:iCs w:val="false"/>
          <w:color w:val="1A1A1A"/>
          <w:sz w:val="21"/>
          <w:szCs w:val="21"/>
        </w:rPr>
        <w:t xml:space="preserve">von NexAI gestellt</w:t>
      </w:r>
      <w:r>
        <w:rPr>
          <w:rFonts w:ascii="Arial" w:cs="Arial" w:eastAsia="Arial" w:hAnsi="Arial"/>
          <w:b w:val="false"/>
          <w:bCs w:val="false"/>
          <w:i w:val="false"/>
          <w:iCs w:val="false"/>
          <w:color w:val="1A1A1A"/>
          <w:sz w:val="21"/>
          <w:szCs w:val="21"/>
        </w:rPr>
        <w:t xml:space="preserve"> (Betriebsmittel; kein Herausgabeanspruch).</w:t>
      </w:r>
    </w:p>
    <w:p>
      <w:pPr>
        <w:spacing w:after="120"/>
      </w:pPr>
      <w:r>
        <w:rPr>
          <w:rFonts w:ascii="Arial" w:cs="Arial" w:eastAsia="Arial" w:hAnsi="Arial"/>
          <w:b/>
          <w:bCs/>
          <w:color w:val="1A1A1A"/>
          <w:sz w:val="21"/>
          <w:szCs w:val="21"/>
        </w:rPr>
        <w:t xml:space="preserve">Betroffene Rufnummer(n):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Registrierungsinhaber der Rufnummer(n): </w:t>
      </w:r>
      <w:r>
        <w:rPr>
          <w:rFonts w:ascii="Arial" w:cs="Arial" w:eastAsia="Arial" w:hAnsi="Arial"/>
          <w:color w:val="6B7280"/>
          <w:sz w:val="21"/>
          <w:szCs w:val="21"/>
          <w:u w:val="single"/>
        </w:rPr>
        <w:t xml:space="preserve">                                                </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13.  </w:t>
      </w:r>
      <w:r>
        <w:rPr>
          <w:rFonts w:ascii="Arial" w:cs="Arial" w:eastAsia="Arial" w:hAnsi="Arial"/>
          <w:b/>
          <w:bCs/>
          <w:i w:val="false"/>
          <w:iCs w:val="false"/>
          <w:color w:val="0B0B0F"/>
          <w:sz w:val="24"/>
          <w:szCs w:val="24"/>
        </w:rPr>
        <w:t xml:space="preserve">Notfall- und Rückfallkontakt</w:t>
      </w:r>
    </w:p>
    <w:p>
      <w:pPr>
        <w:spacing w:after="120"/>
      </w:pPr>
      <w:r>
        <w:rPr>
          <w:rFonts w:ascii="Arial" w:cs="Arial" w:eastAsia="Arial" w:hAnsi="Arial"/>
          <w:b/>
          <w:bCs/>
          <w:color w:val="1A1A1A"/>
          <w:sz w:val="21"/>
          <w:szCs w:val="21"/>
        </w:rPr>
        <w:t xml:space="preserve">Notfallkontakt (Name):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Notfallkontakt (Telefon / 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Rückfallnummer für gescheiterte Weiterleitungen im Gespräch: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Bei Ausfall der Telefonie erfolgt keine automatische Umleitung; der Kunde richtet hierfür eine Rufumleitung bei seinem Netzbetreiber ein (Anlage C Ziffer 8 Abs. (2)).</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14.  </w:t>
      </w:r>
      <w:r>
        <w:rPr>
          <w:rFonts w:ascii="Arial" w:cs="Arial" w:eastAsia="Arial" w:hAnsi="Arial"/>
          <w:b/>
          <w:bCs/>
          <w:i w:val="false"/>
          <w:iCs w:val="false"/>
          <w:color w:val="0B0B0F"/>
          <w:sz w:val="24"/>
          <w:szCs w:val="24"/>
        </w:rPr>
        <w:t xml:space="preserve">Einrichtung und Start</w:t>
      </w:r>
    </w:p>
    <w:p>
      <w:pPr>
        <w:spacing w:after="120"/>
      </w:pPr>
      <w:r>
        <w:rPr>
          <w:rFonts w:ascii="Arial" w:cs="Arial" w:eastAsia="Arial" w:hAnsi="Arial"/>
          <w:b/>
          <w:bCs/>
          <w:color w:val="1A1A1A"/>
          <w:sz w:val="21"/>
          <w:szCs w:val="21"/>
        </w:rPr>
        <w:t xml:space="preserve">Geplanter Einrichtungs-/Startzeitpunkt: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Übliche Einrichtungsdauer ab vollständiger Bereitstellung der erforderlichen Mitwirkung und Zugänge: 3–10 Werktage; bei Projektanwendungen nach dem vereinbarten Zeitplan. Der genannte Zeitpunkt ist ein unverbindlicher Zielwert, kein Fixtermin im Sinne des § 323 Abs. 2 Nr. 2 BGB.</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15.  </w:t>
      </w:r>
      <w:r>
        <w:rPr>
          <w:rFonts w:ascii="Arial" w:cs="Arial" w:eastAsia="Arial" w:hAnsi="Arial"/>
          <w:b/>
          <w:bCs/>
          <w:i w:val="false"/>
          <w:iCs w:val="false"/>
          <w:color w:val="0B0B0F"/>
          <w:sz w:val="24"/>
          <w:szCs w:val="24"/>
        </w:rPr>
        <w:t xml:space="preserve">Optionale Ablösesumme (Prompt-Weiternutzung)</w:t>
      </w:r>
    </w:p>
    <w:p>
      <w:pPr>
        <w:spacing w:after="120" w:line="276"/>
        <w:jc w:val="both"/>
      </w:pPr>
      <w:r>
        <w:rPr>
          <w:rFonts w:ascii="Arial" w:cs="Arial" w:eastAsia="Arial" w:hAnsi="Arial"/>
          <w:b w:val="false"/>
          <w:bCs w:val="false"/>
          <w:i w:val="false"/>
          <w:iCs w:val="false"/>
          <w:color w:val="1A1A1A"/>
          <w:sz w:val="21"/>
          <w:szCs w:val="21"/>
        </w:rPr>
        <w:t xml:space="preserve">Optional kann eine einmalige Ablösesumme für die dauerhafte Weiternutzung der für den Kunden erstellten Prompts/Konfigurationen nach Vertragsende vereinbart werden. Ohne eine solche Vereinbarung besteht kein Anspruch auf Herausgabe oder Weiternutzung der Prompts/Konfigurationen.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Ablösesumme für dauerhafte Prompt-Weiternutzung nach Vertragsende </w:t>
      </w:r>
      <w:r>
        <w:rPr>
          <w:rFonts w:ascii="Arial" w:cs="Arial" w:eastAsia="Arial" w:hAnsi="Arial"/>
          <w:b/>
          <w:bCs/>
          <w:i w:val="false"/>
          <w:iCs w:val="false"/>
          <w:color w:val="1A1A1A"/>
          <w:sz w:val="21"/>
          <w:szCs w:val="21"/>
        </w:rPr>
        <w:t xml:space="preserve">vereinbart</w:t>
      </w:r>
      <w:r>
        <w:rPr>
          <w:rFonts w:ascii="Arial" w:cs="Arial" w:eastAsia="Arial" w:hAnsi="Arial"/>
          <w:b w:val="false"/>
          <w:bCs w:val="false"/>
          <w:i w:val="false"/>
          <w:iCs w:val="false"/>
          <w:color w:val="1A1A1A"/>
          <w:sz w:val="21"/>
          <w:szCs w:val="21"/>
        </w:rPr>
        <w:t xml:space="preserve">.</w:t>
      </w:r>
    </w:p>
    <w:p>
      <w:pPr>
        <w:spacing w:after="120"/>
      </w:pPr>
      <w:r>
        <w:rPr>
          <w:rFonts w:ascii="Arial" w:cs="Arial" w:eastAsia="Arial" w:hAnsi="Arial"/>
          <w:b/>
          <w:bCs/>
          <w:color w:val="1A1A1A"/>
          <w:sz w:val="21"/>
          <w:szCs w:val="21"/>
        </w:rPr>
        <w:t xml:space="preserve">Ablösesumme (netto): </w:t>
      </w:r>
      <w:r>
        <w:rPr>
          <w:rFonts w:ascii="Arial" w:cs="Arial" w:eastAsia="Arial" w:hAnsi="Arial"/>
          <w:color w:val="1A1A1A"/>
          <w:sz w:val="21"/>
          <w:szCs w:val="21"/>
        </w:rPr>
        <w:t xml:space="preserve">____ EUR</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16.  </w:t>
      </w:r>
      <w:r>
        <w:rPr>
          <w:rFonts w:ascii="Arial" w:cs="Arial" w:eastAsia="Arial" w:hAnsi="Arial"/>
          <w:b/>
          <w:bCs/>
          <w:i w:val="false"/>
          <w:iCs w:val="false"/>
          <w:color w:val="0B0B0F"/>
          <w:sz w:val="24"/>
          <w:szCs w:val="24"/>
        </w:rPr>
        <w:t xml:space="preserve">Schlussbestätigung</w:t>
      </w:r>
    </w:p>
    <w:p>
      <w:pPr>
        <w:spacing w:after="120" w:line="276"/>
        <w:jc w:val="both"/>
      </w:pPr>
      <w:r>
        <w:rPr>
          <w:rFonts w:ascii="Arial" w:cs="Arial" w:eastAsia="Arial" w:hAnsi="Arial"/>
          <w:b w:val="false"/>
          <w:bCs w:val="false"/>
          <w:i w:val="false"/>
          <w:iCs w:val="false"/>
          <w:color w:val="1A1A1A"/>
          <w:sz w:val="21"/>
          <w:szCs w:val="21"/>
        </w:rPr>
        <w:t xml:space="preserve">Die Parteien bestätigen die Richtigkeit der vorstehenden Angaben. Dieser Leistungsschein wird mit beidseitiger Unterzeichnung wirksam und ist Bestandteil des Rahmenvertrags.</w:t>
      </w:r>
    </w:p>
    <w:p>
      <w:pPr>
        <w:spacing w:after="120" w:line="276"/>
        <w:jc w:val="both"/>
      </w:pPr>
      <w:r>
        <w:rPr>
          <w:rFonts w:ascii="Arial" w:cs="Arial" w:eastAsia="Arial" w:hAnsi="Arial"/>
          <w:b/>
          <w:bCs/>
          <w:i w:val="false"/>
          <w:iCs w:val="false"/>
          <w:color w:val="1A1A1A"/>
          <w:sz w:val="21"/>
          <w:szCs w:val="21"/>
        </w:rPr>
        <w:t xml:space="preserve">Hinweis zur Unterschrift für NexAI.</w:t>
      </w:r>
      <w:r>
        <w:rPr>
          <w:rFonts w:ascii="Arial" w:cs="Arial" w:eastAsia="Arial" w:hAnsi="Arial"/>
          <w:b w:val="false"/>
          <w:bCs w:val="false"/>
          <w:i w:val="false"/>
          <w:iCs w:val="false"/>
          <w:color w:val="1A1A1A"/>
          <w:sz w:val="21"/>
          <w:szCs w:val="21"/>
        </w:rPr>
        <w:t xml:space="preserve"> Für NexAI unterschreibt ein Gesellschafter (jeder ist nach § 720 Abs. 2 BGB allein ermächtigt) oder eine von NexAI bevollmächtigte Person aus dem Vertrieb (Closer oder Vertriebsleitung) mit dem Zusatz „in Vollmacht für NexAI“. Diese Personen sind selbständige Handelsvertreter. Die Vollmacht dieser Personen umfasst nur Verträge mit Unternehmern (§ 14 BGB) mit Sitz in Deutschland und nur den Abschluss in den unveränderten, von NexAI freigegebenen Vertragsdokumenten (Rahmenvertrag, dieser Leistungsschein, Anlagen A bis C, AGB, Vertrag zur Auftragsverarbeitung); Preise, Mengen und Kontingente (Ziffern 5 und 6) nur nach der Preisliste von NexAI. Nicht umfasst sind insbesondere Abweichungen vom Listenpreis, Rabatte, Freimonate, Stundungen, der Verzicht auf Einrichtungsgebühren, Sonderkonditionen und sonstige Zusagen, Abweichungen von den Vorgabewerten dieses Leistungsscheins (etwa Aufbewahrungsfristen über der Vorgabe, Kostendeckel und Spend-Cap), freie Leistungsbeschreibungen, die Ablösesumme (Ziffer 15), Änderungen, Streichungen oder Ergänzungen der Vertragsdokumente einschließlich des Vertrags zur Auftragsverarbeitung und Einträge zu ergänzenden oder abweichenden Subunternehmern, Kauflizenzen und Projektanwendungen (Ziffer 3.4, Anlage E), das Abnahmeprotokoll (Anlage D) sowie die Annahme von Zahlungen. Enthält ein von einer bevollmächtigten Person unterschriebener Vertrag solche Abreden, wird er erst wirksam, wenn ein Gesellschafter von NexAI ihn in Textform genehmigt; verweigert NexAI die Genehmigung, kommt er nicht zustande. Zusagen außerhalb der Vertragsdokumente binden NexAI nur, wenn ein Gesellschafter sie in Textform bestätigt. Personen aus dem Vertrieb von NexAI, auch Closer und die Vertriebsleitung, sind nicht ermächtigt, für NexAI Mängelanzeigen und ähnliche Erklärungen (§ 91 Abs. 2, § 55 Abs. 4 HGB), Abnahmeerklärungen, Kündigungen oder sonstige Erklärungen zum Vertrag entgegenzunehmen. Solche Erklärungen sind an mbt@nex-a-i.com zu richten, Störungsmeldungen auch über die Supportkanäle nach Anlage C Ziffer 3. Jeder Gesellschafter ist auch allein ermächtigt, für NexAI Verträge abzulehnen und ihre Genehmigung zu verweigern.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hat den Hinweis zur Unterschrift für NexAI zur Kenntnis genommen.</w:t>
      </w:r>
    </w:p>
    <w:p>
      <w:pPr>
        <w:spacing w:after="16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Auftragsformular / Leistungsschein</dc:title>
  <dc:creator>NexAI</dc:creator>
  <cp:lastModifiedBy>Un-named</cp:lastModifiedBy>
  <cp:revision>1</cp:revision>
  <dcterms:created xsi:type="dcterms:W3CDTF">2026-10-20T18:58:38.801Z</dcterms:created>
  <dcterms:modified xsi:type="dcterms:W3CDTF">2026-10-20T18:58:38.802Z</dcterms:modified>
</cp:coreProperties>
</file>

<file path=docProps/custom.xml><?xml version="1.0" encoding="utf-8"?>
<Properties xmlns="http://schemas.openxmlformats.org/officeDocument/2006/custom-properties" xmlns:vt="http://schemas.openxmlformats.org/officeDocument/2006/docPropsVTypes"/>
</file>