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jeder allein (§ 720 Abs. 2 BGB), oder durch eine bevollmächtigte Person (Ziffer 16 des Leistungsscheins),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das Verwaltungsprotokoll und zu selbsttätig versandten Antworten Empfänger, Betreff und Message-ID (Schleifenschutz);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einschließlich nächtlicher verschlüsselter Sicherung,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Monate; Einträge zu Auskunfts- und Löschanträgen bis zum Ende des dritten Jahres nach dem Eintragsjahr; Einträge zur Abrechnung bis zum Ende des zehnten Jahres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Schleifenschutz der Automatik (Empfänger, Betreff und Message-ID selbsttätig versandter Antworten)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gespeicherte Bankverbindungen bekannter Absender (Betrugserkennung)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 nach der letzten Nennung, nicht änderbar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Für die Unterschrift für NexAI durch bevollmächtigte Personen gilt der Hinweis zur Unterschrift in Ziffer 16 des Leistungsscheins.</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2026-10-20T18:29:37.748Z</dcterms:created>
  <dcterms:modified xsi:type="dcterms:W3CDTF">2026-10-20T18:29:37.748Z</dcterms:modified>
</cp:coreProperties>
</file>

<file path=docProps/custom.xml><?xml version="1.0" encoding="utf-8"?>
<Properties xmlns="http://schemas.openxmlformats.org/officeDocument/2006/custom-properties" xmlns:vt="http://schemas.openxmlformats.org/officeDocument/2006/docPropsVTypes"/>
</file>