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und digitalen Assistenten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gelten die zwischen den Parteien getroffenen Vertragsdokumente in folgender Rangfolge; im Falle von Widersprüchen geht das jeweils höherrangige Dokument vor: (1.) das Auftragsformular/der Leistungsschein einschließlich individueller Abreden, (2.) der Rahmenvertrag nebst seinen Anlagen A (Leistungsbeschreibung), B (Auftragsverarbeitungsvertrag), C (SLA) und D (Abnahmeprotokoll), (3.) diese AGB.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Social-Media-Agenten, Vertriebs-/Akquise-Agenten, Automatisierungen und individuelle KI-Agenten, richtet diese ein und/oder betreibt sie laufend.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Erstellung von Websites und die Ersteinrichtung von Agenten (nachfolgend "Projektleistungen", Werkvertragsrecht) sowie den laufenden Betrieb, die Wartung, das Hosting und den Support der Agenten (nachfolgend "Betriebsleistungen", Dienstvertragsrecht). Die rechtliche Einordnung der jeweiligen Leistung richtet sich nach ihrem Schwerpunkt.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dürfen keine rechtsverbindlichen Erklärungen im Namen des Kunden abgeben, insbesondere keine verbindlichen Preiszusagen, Bestellungen oder Vertragsabschlüsse tätigen.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ist berechtigt, die Leistungen im Rahmen des vertraglich Vereinbarten fortzuentwickeln und technisch anzupassen, soweit dies dem technischen Fortschritt dient und die vereinbarte Funktionalität nicht wesentlich beeinträchtigt wird.</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Nebenabreden, Änderungen und Ergänzungen des Vertrages bedürfen zu ihrer Wirksamkeit der Textform. Dies gilt auch für die Aufhebung dieses Textformerfordernisses.</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fällt keine Einrichtungs- oder Setup-Gebühr an. Für die Leistungen ist ausschließlich ein monatlicher oder – bei entsprechender Wahl – ein jährlicher Beitrag nach Maßgabe des Auftragsformulars zu entrichten.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Bis zur Erteilung einer Umsatzsteuer-Identifikationsnummer wird auf den Rechnungen die Steuernummer ausgewiesen.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angemessenen Nachfrist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Kunde kann nur mit unbestrittenen oder rechtskräftig festgestellten Forderungen aufrechnen. Ein Zurückbehaltungsrecht steht ihm nur wegen Gegenansprüchen aus demselben Vertragsverhältnis zu.</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dem Kunden Änderungen der Preise und dieser AGB mit einer Ankündigungsfrist von 6 Wochen in Textform anzubieten. Die Ankündigung benennt die betroffenen Regelungen, den Umfang der Änderung und den vorgesehenen Zeitpunkt des Inkrafttretens und weist den Kunden gesondert auf sein Kündigungsrecht sowie auf die Rechtsfolgen nach Absatz 2 hin.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Zustimmung des Kunden wird nicht durch bloßes Schweigen fingiert; eine Zustimmungsfiktion findet nicht statt. Die angekündigten Änderungen werden nur wirksam, wenn der Kunde ihnen ausdrücklich in Textform zustimmt oder er die entgeltpflichtigen Leistungen nach Zugang der Ankündigung und nach dem gesonderten Hinweis nach Absatz 1 vorbehaltlos weiter in Anspruch nimmt; in der vorbehaltlosen Weiterinanspruchnahme liegt eine konkludente Zustimmung. Bis zum Wirksamwerden einer Änderung gelten die bisherigen Bedingungen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Kommt eine Einigung über die angekündigte Änderung nicht zustande oder widerspricht der Kunde ihr, so sind sowohl NexAI als auch der Kunde berechtigt, das Vertragsverhältnis nach den Regelungen des Rahmenvertrages mit Wirkung zum vorgesehenen Zeitpunkt des Inkrafttretens der Änderung ordentlich zu kündigen. Kündigt keine Partei, bleiben die bisherigen Bedingungen unverändert bestehen.</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oder im Auftragsformular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Vapi, Twilio, Make, OpenAI, ElevenLabs, Google sowie Hosting-Anbieter.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haftet für Handlungen oder Unterlassungen der Subunternehmer nur nach Maßgabe des § 11 (Haftung) und nur, soweit NexAI ein eigenes Verschulden, insbesondere bei Auswahl, Anweisung oder Überwachung, trifft. Ausfälle, Störungen, Preis- oder Leistungsänderungen von Subunternehmern, die NexAI nicht zu vertreten hat, begründen keinen Mangel und keine Haftung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Aufzeichnung und Transkription von Gesprächen ist standardmäßig deaktiviert und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als Bemühensschuld. Eine bestimmte Verfügbarkeit wird nur geschuldet, soweit sie in Anlage C (SLA) ausdrücklich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Möglichkeit ankündigt und in nutzungsarme Zeiten legt, stellen keinen Mangel und keine Pflichtverletzung dar. Gleiches gilt für Beeinträchtigungen, die auf Störungen bei Subunternehmern oder auf höherer Gewalt beruhen.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leicht fahrlässigen Verletzung einer wesentlichen Vertragspflicht (Kardinalpflicht), also einer Pflicht, deren Erfüllung die ordnungsgemäße Durchführung des Vertrages überhaupt erst ermöglicht und auf deren Einhaltung der Kunde regelmäßig vertrauen darf, ist die Haftung von NexAI auf den bei Vertragsschluss vorhersehbaren, vertragstypischen Schaden begrenzt, höchstens jedoch auf ____ EUR je Schadensfall.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Wo dies technisch abschaltbar ist, erfolgt keine Speicherung von Gesprächs- oder Interaktionsdaten. Ist eine Speicherung technisch nicht abschaltbar, werden die Daten für 6 Monate aufbewahrt und sodann gelöscht. Geschäftsdaten werden zusätzlich in den Systemen des Kunden geführt; diese sind das führende System.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innerhalb einer Frist von 30 Tagen zum Export bereit und löscht sie anschließend; über die Löschung erteilt NexAI auf Verlangen eine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Soweit NexAI im Rahmen von Vertriebs-/Akquise-Agenten selbst Kontakte recherchiert, hält NexAI die einschlägigen Vorgaben ein, insbesondere die Grenzen zulässiger B2B-Ansprache, die Informationspflichten nach Art. 14 DSGVO sowie die Dokumentation von Widersprüchen (Opt-out). Der Kunde sichert zu, dass die von ihm veranlassten Kampagnen rechtmäßig sind. NexAI ist berechtigt, die Durchführung erkennbar rechtswidriger Kampagnen abzulehnen.</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Ereignisse höherer Gewalt, die NexAI die Leistungserbringung wesentlich erschweren oder vorübergehend unmöglich machen, befreien NexAI für die Dauer ihrer Auswirkungen von der Leistungspflicht. Als höhere Gewalt gelten insbesondere Naturkatastrophen, Epidemien und Pandemien, kriegerische Auseinandersetzungen, Terroranschläge, Arbeitskämpfe, behördliche Maßnahmen, großflächige Ausfälle von Telekommunikations- oder Energieinfrastruktur sowie schwerwiegende, nicht zu vertretende Störungen bei Subunternehmern. NexAI wird den Kunden über den Eintritt und die voraussichtliche Dauer unverzüglich informieren und sich um Abhilfe bemühen.</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Ausschließlicher Gerichtsstand für alle Streitigkeiten aus und im Zusammenhang mit dem Vertragsverhältnis ist, soweit der Kunde Kaufmann, juristische Person des öffentlichen Rechts oder öffentlich-rechtliches Sondervermögen ist, der Sitz von NexAI. NexAI ist daneben berechtigt, den Kunden an seinem allgemeinen Gerichtsstand zu verklagen.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Allgemeinen Geschäftsbedingungen stellen einen sorgfältig erstellten Entwurf dar und sollten vor Verwendung im Einzelfall anwaltlich geprüft werden.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Allgemeine Geschäftsbedingungen (AGB) – B2B</dc:title>
  <dc:creator>NexAI</dc:creator>
  <cp:lastModifiedBy>Un-named</cp:lastModifiedBy>
  <cp:revision>1</cp:revision>
  <dcterms:created xsi:type="dcterms:W3CDTF">2026-08-21T17:03:01.896Z</dcterms:created>
  <dcterms:modified xsi:type="dcterms:W3CDTF">2026-08-21T17:03:01.897Z</dcterms:modified>
</cp:coreProperties>
</file>

<file path=docProps/custom.xml><?xml version="1.0" encoding="utf-8"?>
<Properties xmlns="http://schemas.openxmlformats.org/officeDocument/2006/custom-properties" xmlns:vt="http://schemas.openxmlformats.org/officeDocument/2006/docPropsVTypes"/>
</file>