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Juli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die Ersteinrichtung von Agenten und die Einrichtung von Anwendungen)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sind nicht Gegenstand dieser Abnahme; sie richten sich nach den dienstvertraglichen Regelungen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CRM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Kalender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App / individuelle Anwendung (Einrichtung und Bereitstellung)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Behält sich der Kunde die Geltendmachung eines bei der Abnahme bekannten Mangels nicht vor, so stehen ihm die Rechte aus §§ 634 Nr. 1 bis 3 BGB insoweit nur zu, wenn er sich diese bei der Abnahme vorbehält (§ 640 Abs. 3 BGB); die weiteren Gewährleistungsrechte bleiben hiervon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an und setzt dem Kunden eine angemessene Frist zur Abnahme, so gilt die Werkleistung nach Ablauf dieser Frist als abgenommen, wenn der Kunde die Abnahme nicht innerhalb der Frist unter Angabe mindestens eines Mangels verweigert hat. Auf diese Rechtsfolge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Beginn der Gewährleistungsfrist:</w:t>
      </w:r>
      <w:r>
        <w:rPr>
          <w:rFonts w:ascii="Arial" w:cs="Arial" w:eastAsia="Arial" w:hAnsi="Arial"/>
          <w:b w:val="false"/>
          <w:bCs w:val="false"/>
          <w:i w:val="false"/>
          <w:iCs w:val="false"/>
          <w:color w:val="1A1A1A"/>
          <w:sz w:val="21"/>
          <w:szCs w:val="21"/>
        </w:rPr>
        <w:t xml:space="preserve"> Mit der Abnahme – einschließlich der Fälle der Abnahmefiktion nach vorstehender Ziffer (3) sowie einer etwaigen Teilabnahme gemäß Ziffer 3 (4) – beginnt die auf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verkürzte Verjährungsfrist für Mängelansprüche des Kunden hinsichtlich der abgenommenen Werkleistungen. Die gesetzlich zwingenden Ausnahmen (Vorsatz, Arglist, Schäden aus der Verletzung des Lebens, des Körpers oder der Gesundheit sowie grobes Verschulden) bleiben unberührt; im Übrigen gelten die Regelungen des Rahmenvertrages und der AGB (B2B).</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Dieses Abnahmeprotokoll ist Teil eines sorgfältig erstellten Vertragsentwurfs. Es ersetzt keine Rechtsberatung und sollte für den konkreten Einzelfall anwaltlich geprüft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D – Abnahmeprotokoll (Projekt-/Werkleistungen)</dc:title>
  <dc:creator>NexAI</dc:creator>
  <cp:lastModifiedBy>Un-named</cp:lastModifiedBy>
  <cp:revision>1</cp:revision>
  <dcterms:created xsi:type="dcterms:W3CDTF">2026-09-07T18:53:59.288Z</dcterms:created>
  <dcterms:modified xsi:type="dcterms:W3CDTF">2026-09-07T18:53:59.289Z</dcterms:modified>
</cp:coreProperties>
</file>

<file path=docProps/custom.xml><?xml version="1.0" encoding="utf-8"?>
<Properties xmlns="http://schemas.openxmlformats.org/officeDocument/2006/custom-properties" xmlns:vt="http://schemas.openxmlformats.org/officeDocument/2006/docPropsVTypes"/>
</file>