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August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Soniox und OpenAI (USA),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 Sprachsynthese)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(Speech-to-Text); als Unterauftragsverarbeiter von Vapi eingesetzt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Transkripte,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(über Vapi-DPA)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(kein DPF);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Kalender-, Sheets-, Gmail-/Workspace-Dienste (Terminverwaltung, Bestätigungen, Lead-Ablage)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easybell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Telefonie-Anbindung (SIP-Trunk)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Hosting/Betrieb der von NexAI selbst betriebenen Automatisierungs- und Speicherinstanz (n8n)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Agent: Kontakt-, Vorgangs-, Termin-,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2026-09-07T18:07:36.410Z</dcterms:created>
  <dcterms:modified xsi:type="dcterms:W3CDTF">2026-09-07T18:07:36.411Z</dcterms:modified>
</cp:coreProperties>
</file>

<file path=docProps/custom.xml><?xml version="1.0" encoding="utf-8"?>
<Properties xmlns="http://schemas.openxmlformats.org/officeDocument/2006/custom-properties" xmlns:vt="http://schemas.openxmlformats.org/officeDocument/2006/docPropsVTypes"/>
</file>