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Social-Media-Agent, Vertriebs-/Akquise-Agent, Automatisierungen, individuelle KI-Agenten – nachfolgend "Agenten") sowie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Für die abweichende oder ergänzende Rollenverteilung bei einzelnen Leistungsarten – insbesondere bei der Vertriebs-/Akquise-Leistung – gilt die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 a. Sprachdialog, Chatdialog, Terminvereinbarung, Weiterleitung, Automatisierungen, Kontaktaufnahme).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für den Kunden, insbesondere die Beantwortung von Anfragen von Endnutzern, die Vereinbarung und Verwaltung von Terminen, die Weiterleitung von Anliegen sowie – nach Maßgabe der jeweiligen Beauftragung – die Kontaktaufnahme mit vom Kunden bestimmten Zielgruppen.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interagieren, insbesondere Anrufer (Voice Agent), Chat-Kontakte (Chat Agent), über Social-Media-Kanäle kommunizierende Personen sowie im Rahmen der Vertriebs-/Akquise-Leistung angesprochene Kontakte;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und Deepgram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Agent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(Inbound)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Social-Media-Agent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Vertriebs-/Akquise-Agent – NexAI recherchiert Kontakte selbst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Auftragsverarbeitung; im Einzelfall gemeinsame Verantwortlichkeit (Art. 26) oder getrennte Verantwortlichkeit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bzw. Art. 26 DSGVO – Festlegung im Auftragsformular</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Vertriebs-/Akquise-Leistung, bei der NexAI Kontaktdaten teilweise selbst recherchiert, legen die Parteien die konkrete Rolle im Auftragsformular fest. Wird eine </w:t>
      </w:r>
      <w:r>
        <w:rPr>
          <w:rFonts w:ascii="Arial" w:cs="Arial" w:eastAsia="Arial" w:hAnsi="Arial"/>
          <w:b/>
          <w:bCs/>
          <w:i w:val="false"/>
          <w:iCs w:val="false"/>
          <w:color w:val="1A1A1A"/>
          <w:sz w:val="21"/>
          <w:szCs w:val="21"/>
        </w:rPr>
        <w:t xml:space="preserve">gemeinsame Verantwortlichkeit</w:t>
      </w:r>
      <w:r>
        <w:rPr>
          <w:rFonts w:ascii="Arial" w:cs="Arial" w:eastAsia="Arial" w:hAnsi="Arial"/>
          <w:b w:val="false"/>
          <w:bCs w:val="false"/>
          <w:i w:val="false"/>
          <w:iCs w:val="false"/>
          <w:color w:val="1A1A1A"/>
          <w:sz w:val="21"/>
          <w:szCs w:val="21"/>
        </w:rPr>
        <w:t xml:space="preserve"> begründet, schließen die Parteien eine gesonderte Vereinbarung nach Art. 26 DSGVO, die die jeweiligen Pflichten – insbesondere zur Information nach Art. 14 DSGVO und zur Wahrnehmung von Betroffenenrechten – festlegt.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unterhält für die selbst durchgeführte Kontaktrecherche eine eigene Compliance (nur zulässige B2B-Ansprache, Erfüllung der Informationspflichten nach Art. 14 DSGVO, Dokumentation von Widersprüchen/Opt-outs) und ist berechtigt, rechtswidrige Kampagnenvorgaben abzulehnen. Der Kunde sichert die Rechtmäßigkeit der von ihm vorgegebenen Zielgruppen und Ansprachen zu.</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Deepgram,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 und Sprachsynthese (Text-to-Speech)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Hosting/Betrieb der von NexAI selbst betriebenen Automatisierungs- und Speicherinstanz (n8n)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Agent: Kontakt-, Vorgangs-, Termin-,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2026-08-21T17:03:01.059Z</dcterms:created>
  <dcterms:modified xsi:type="dcterms:W3CDTF">2026-08-21T17:03:01.060Z</dcterms:modified>
</cp:coreProperties>
</file>

<file path=docProps/custom.xml><?xml version="1.0" encoding="utf-8"?>
<Properties xmlns="http://schemas.openxmlformats.org/officeDocument/2006/custom-properties" xmlns:vt="http://schemas.openxmlformats.org/officeDocument/2006/docPropsVTypes"/>
</file>