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Website-Erstellung und Ersteinrichtung)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sind nicht Gegenstand dieser Abnahme; sie richten sich nach den dienstvertraglichen Regelungen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Social-Media-Agent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Vertriebs-/Akquise-Agent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Website (Erstellung / Relaunch)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Behält sich der Kunde die Geltendmachung eines bei der Abnahme bekannten Mangels nicht vor, so stehen ihm die Rechte aus §§ 634 Nr. 1 bis 3 BGB insoweit nur zu, wenn er sich diese bei der Abnahme vorbehält (§ 640 Abs. 3 BGB); die weiteren Gewährleistungsrechte bleiben hiervon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an und setzt dem Kunden eine angemessene Frist zur Abnahme, so gilt die Werkleistung nach Ablauf dieser Frist als abgenommen, wenn der Kunde die Abnahme nicht innerhalb der Frist unter Angabe mindestens eines Mangels verweigert hat. Auf diese Rechtsfolge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Beginn der Gewährleistungsfrist:</w:t>
      </w:r>
      <w:r>
        <w:rPr>
          <w:rFonts w:ascii="Arial" w:cs="Arial" w:eastAsia="Arial" w:hAnsi="Arial"/>
          <w:b w:val="false"/>
          <w:bCs w:val="false"/>
          <w:i w:val="false"/>
          <w:iCs w:val="false"/>
          <w:color w:val="1A1A1A"/>
          <w:sz w:val="21"/>
          <w:szCs w:val="21"/>
        </w:rPr>
        <w:t xml:space="preserve"> Mit der Abnahme – einschließlich der Fälle der Abnahmefiktion nach vorstehender Ziffer (3) sowie einer etwaigen Teilabnahme gemäß Ziffer 3 (4) – beginnt die auf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verkürzte Verjährungsfrist für Mängelansprüche des Kunden hinsichtlich der abgenommenen Werkleistungen. Die gesetzlich zwingenden Ausnahmen (Vorsatz, Arglist, Schäden aus der Verletzung des Lebens, des Körpers oder der Gesundheit sowie grobes Verschulden) bleiben unberührt; im Übrigen gelten die Regelungen des Rahmenvertrages und der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Abnahmeprotokoll ist Teil eines sorgfältig erstellten Vertragsentwurfs. Es ersetzt keine Rechtsberatung und sollte für den konkreten Einzelfall anwaltlich geprüft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D – Abnahmeprotokoll (Projekt-/Werkleistungen)</dc:title>
  <dc:creator>NexAI</dc:creator>
  <cp:lastModifiedBy>Un-named</cp:lastModifiedBy>
  <cp:revision>1</cp:revision>
  <dcterms:created xsi:type="dcterms:W3CDTF">2026-08-21T17:03:01.516Z</dcterms:created>
  <dcterms:modified xsi:type="dcterms:W3CDTF">2026-08-21T17:03:01.517Z</dcterms:modified>
</cp:coreProperties>
</file>

<file path=docProps/custom.xml><?xml version="1.0" encoding="utf-8"?>
<Properties xmlns="http://schemas.openxmlformats.org/officeDocument/2006/custom-properties" xmlns:vt="http://schemas.openxmlformats.org/officeDocument/2006/docPropsVTypes"/>
</file>